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E72C5" w14:textId="01ECB682" w:rsidR="006A1E68" w:rsidRPr="00B93195" w:rsidRDefault="006A1E68" w:rsidP="006A1E68">
      <w:pPr>
        <w:spacing w:before="100" w:beforeAutospacing="1" w:after="100" w:afterAutospacing="1" w:line="240" w:lineRule="auto"/>
        <w:outlineLvl w:val="0"/>
        <w:rPr>
          <w:rFonts w:ascii="Gill Sans MT" w:eastAsia="Times New Roman" w:hAnsi="Gill Sans MT" w:cs="Times New Roman"/>
          <w:b/>
          <w:bCs/>
          <w:kern w:val="36"/>
          <w:sz w:val="28"/>
          <w:szCs w:val="28"/>
          <w14:ligatures w14:val="none"/>
        </w:rPr>
      </w:pPr>
      <w:bookmarkStart w:id="0" w:name="_Hlk199420379"/>
      <w:r w:rsidRPr="00B93195">
        <w:rPr>
          <w:rFonts w:ascii="Gill Sans MT" w:eastAsia="Times New Roman" w:hAnsi="Gill Sans MT" w:cs="Times New Roman"/>
          <w:b/>
          <w:bCs/>
          <w:kern w:val="36"/>
          <w:sz w:val="28"/>
          <w:szCs w:val="28"/>
          <w14:ligatures w14:val="none"/>
        </w:rPr>
        <w:t>Conflict of Interest Policy: Tobacco Industry Non-Engagement Provision</w:t>
      </w:r>
      <w:r w:rsidR="00B57AE9">
        <w:rPr>
          <w:rFonts w:ascii="Gill Sans MT" w:eastAsia="Times New Roman" w:hAnsi="Gill Sans MT" w:cs="Times New Roman"/>
          <w:b/>
          <w:bCs/>
          <w:kern w:val="36"/>
          <w:sz w:val="28"/>
          <w:szCs w:val="28"/>
          <w14:ligatures w14:val="none"/>
        </w:rPr>
        <w:t xml:space="preserve"> </w:t>
      </w:r>
    </w:p>
    <w:bookmarkEnd w:id="0"/>
    <w:p w14:paraId="0B85B7F4"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Purpose</w:t>
      </w:r>
    </w:p>
    <w:p w14:paraId="23EEC197" w14:textId="60C2C9A3" w:rsidR="006A1E68" w:rsidRDefault="00C20920"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To</w:t>
      </w:r>
      <w:r w:rsidR="006A1E68" w:rsidRPr="00B93195">
        <w:rPr>
          <w:rFonts w:ascii="Gill Sans MT" w:eastAsia="Times New Roman" w:hAnsi="Gill Sans MT" w:cs="Times New Roman"/>
          <w:kern w:val="0"/>
          <w14:ligatures w14:val="none"/>
        </w:rPr>
        <w:t xml:space="preserve"> establish clear standards regarding tobacco industry relationships, consistent with Article 5.3 of the W</w:t>
      </w:r>
      <w:r w:rsidR="00F34719" w:rsidRPr="00B93195">
        <w:rPr>
          <w:rFonts w:ascii="Gill Sans MT" w:eastAsia="Times New Roman" w:hAnsi="Gill Sans MT" w:cs="Times New Roman"/>
          <w:kern w:val="0"/>
          <w14:ligatures w14:val="none"/>
        </w:rPr>
        <w:t>orld Health Organization</w:t>
      </w:r>
      <w:r w:rsidR="006A1E68" w:rsidRPr="00B93195">
        <w:rPr>
          <w:rFonts w:ascii="Gill Sans MT" w:eastAsia="Times New Roman" w:hAnsi="Gill Sans MT" w:cs="Times New Roman"/>
          <w:kern w:val="0"/>
          <w14:ligatures w14:val="none"/>
        </w:rPr>
        <w:t xml:space="preserve"> Framework Convention on Tobacco Control</w:t>
      </w:r>
      <w:r w:rsidR="00F34719" w:rsidRPr="00B93195">
        <w:rPr>
          <w:rFonts w:ascii="Gill Sans MT" w:eastAsia="Times New Roman" w:hAnsi="Gill Sans MT" w:cs="Times New Roman"/>
          <w:kern w:val="0"/>
          <w14:ligatures w14:val="none"/>
        </w:rPr>
        <w:t xml:space="preserve"> (WHO FCTC)</w:t>
      </w:r>
      <w:r w:rsidR="00116550">
        <w:rPr>
          <w:rFonts w:ascii="Gill Sans MT" w:eastAsia="Times New Roman" w:hAnsi="Gill Sans MT" w:cs="Times New Roman"/>
          <w:kern w:val="0"/>
          <w14:ligatures w14:val="none"/>
        </w:rPr>
        <w:t xml:space="preserve"> and its </w:t>
      </w:r>
      <w:hyperlink r:id="rId8" w:history="1">
        <w:r w:rsidR="00116550" w:rsidRPr="003C46A0">
          <w:rPr>
            <w:rStyle w:val="Hyperlink"/>
            <w:rFonts w:ascii="Gill Sans MT" w:eastAsia="Times New Roman" w:hAnsi="Gill Sans MT" w:cs="Times New Roman"/>
            <w:kern w:val="0"/>
            <w14:ligatures w14:val="none"/>
          </w:rPr>
          <w:t>Guidelines for Implementation</w:t>
        </w:r>
      </w:hyperlink>
      <w:r w:rsidR="006A1E68" w:rsidRPr="00B93195">
        <w:rPr>
          <w:rFonts w:ascii="Gill Sans MT" w:eastAsia="Times New Roman" w:hAnsi="Gill Sans MT" w:cs="Times New Roman"/>
          <w:kern w:val="0"/>
          <w14:ligatures w14:val="none"/>
        </w:rPr>
        <w:t xml:space="preserve">, which requires the protection of public health policies from commercial and other vested interests of the tobacco industry. </w:t>
      </w:r>
    </w:p>
    <w:p w14:paraId="4893D0B7" w14:textId="3DE5104F" w:rsidR="00403017" w:rsidRDefault="00403017" w:rsidP="00403017">
      <w:pPr>
        <w:spacing w:before="100" w:beforeAutospacing="1" w:after="100" w:afterAutospacing="1" w:line="240" w:lineRule="auto"/>
        <w:outlineLvl w:val="1"/>
        <w:rPr>
          <w:rFonts w:ascii="Gill Sans MT" w:eastAsia="Times New Roman" w:hAnsi="Gill Sans MT" w:cs="Times New Roman"/>
          <w:b/>
          <w:bCs/>
          <w:kern w:val="0"/>
          <w14:ligatures w14:val="none"/>
        </w:rPr>
      </w:pPr>
      <w:r>
        <w:rPr>
          <w:rFonts w:ascii="Gill Sans MT" w:eastAsia="Times New Roman" w:hAnsi="Gill Sans MT" w:cs="Times New Roman"/>
          <w:b/>
          <w:bCs/>
          <w:kern w:val="0"/>
          <w14:ligatures w14:val="none"/>
        </w:rPr>
        <w:t>Application</w:t>
      </w:r>
    </w:p>
    <w:p w14:paraId="438F780C" w14:textId="4DFF4476" w:rsidR="00403017" w:rsidRPr="00403017" w:rsidRDefault="00403017" w:rsidP="00403017">
      <w:pPr>
        <w:spacing w:before="100" w:beforeAutospacing="1" w:after="100" w:afterAutospacing="1" w:line="240" w:lineRule="auto"/>
        <w:outlineLvl w:val="1"/>
        <w:rPr>
          <w:rFonts w:ascii="Gill Sans MT" w:eastAsia="Times New Roman" w:hAnsi="Gill Sans MT" w:cs="Times New Roman"/>
          <w:kern w:val="0"/>
          <w14:ligatures w14:val="none"/>
        </w:rPr>
      </w:pPr>
      <w:r w:rsidRPr="00403017">
        <w:rPr>
          <w:rFonts w:ascii="Gill Sans MT" w:eastAsia="Times New Roman" w:hAnsi="Gill Sans MT" w:cs="Times New Roman"/>
          <w:kern w:val="0"/>
          <w14:ligatures w14:val="none"/>
        </w:rPr>
        <w:t xml:space="preserve">For those that have adopted some form of Conflict of Interest (COI) Policy, adopting the Resolution Procedures from </w:t>
      </w:r>
      <w:hyperlink w:anchor="Section5to9" w:history="1">
        <w:r w:rsidRPr="00403017">
          <w:rPr>
            <w:rStyle w:val="Hyperlink"/>
            <w:rFonts w:ascii="Gill Sans MT" w:eastAsia="Times New Roman" w:hAnsi="Gill Sans MT" w:cs="Times New Roman"/>
            <w:kern w:val="0"/>
            <w14:ligatures w14:val="none"/>
          </w:rPr>
          <w:t>Section 5 to 9</w:t>
        </w:r>
      </w:hyperlink>
      <w:r w:rsidRPr="00403017">
        <w:rPr>
          <w:rFonts w:ascii="Gill Sans MT" w:eastAsia="Times New Roman" w:hAnsi="Gill Sans MT" w:cs="Times New Roman"/>
          <w:kern w:val="0"/>
          <w14:ligatures w14:val="none"/>
        </w:rPr>
        <w:t xml:space="preserve"> is highly encouraged</w:t>
      </w:r>
      <w:r w:rsidR="00896A69">
        <w:rPr>
          <w:rFonts w:ascii="Gill Sans MT" w:eastAsia="Times New Roman" w:hAnsi="Gill Sans MT" w:cs="Times New Roman"/>
          <w:kern w:val="0"/>
          <w14:ligatures w14:val="none"/>
        </w:rPr>
        <w:t>.</w:t>
      </w:r>
    </w:p>
    <w:p w14:paraId="0595380C" w14:textId="3A3F3857" w:rsidR="00403017" w:rsidRPr="00B93195" w:rsidRDefault="00403017" w:rsidP="006A1E68">
      <w:pPr>
        <w:spacing w:before="100" w:beforeAutospacing="1" w:after="100" w:afterAutospacing="1" w:line="240" w:lineRule="auto"/>
        <w:rPr>
          <w:rFonts w:ascii="Gill Sans MT" w:eastAsia="Times New Roman" w:hAnsi="Gill Sans MT" w:cs="Times New Roman"/>
          <w:kern w:val="0"/>
          <w14:ligatures w14:val="none"/>
        </w:rPr>
      </w:pPr>
      <w:r w:rsidRPr="00403017">
        <w:rPr>
          <w:rFonts w:ascii="Gill Sans MT" w:eastAsia="Times New Roman" w:hAnsi="Gill Sans MT" w:cs="Times New Roman"/>
          <w:kern w:val="0"/>
          <w14:ligatures w14:val="none"/>
        </w:rPr>
        <w:t>For operational tools supporting this policy—including screening checklists, classification of violations, and independent review procedures—refer to the associated COI Toolkit.</w:t>
      </w:r>
    </w:p>
    <w:p w14:paraId="769EB909" w14:textId="12B0138A" w:rsidR="00C20920" w:rsidRPr="00297DC0" w:rsidRDefault="006A1E68" w:rsidP="00C20920">
      <w:pPr>
        <w:spacing w:before="100" w:beforeAutospacing="1" w:after="100" w:afterAutospacing="1" w:line="240" w:lineRule="auto"/>
        <w:outlineLvl w:val="1"/>
        <w:rPr>
          <w:rFonts w:ascii="Gill Sans MT" w:eastAsia="Times New Roman" w:hAnsi="Gill Sans MT" w:cs="Times New Roman"/>
          <w:b/>
          <w:bCs/>
          <w:color w:val="000000" w:themeColor="text1"/>
          <w:kern w:val="0"/>
          <w14:ligatures w14:val="none"/>
        </w:rPr>
      </w:pPr>
      <w:r w:rsidRPr="00B93195">
        <w:rPr>
          <w:rFonts w:ascii="Gill Sans MT" w:eastAsia="Times New Roman" w:hAnsi="Gill Sans MT" w:cs="Times New Roman"/>
          <w:b/>
          <w:bCs/>
          <w:kern w:val="0"/>
          <w14:ligatures w14:val="none"/>
        </w:rPr>
        <w:t>1.</w:t>
      </w:r>
      <w:r w:rsidR="00C20920" w:rsidRPr="00B93195">
        <w:rPr>
          <w:rFonts w:ascii="Gill Sans MT" w:eastAsia="Times New Roman" w:hAnsi="Gill Sans MT" w:cs="Times New Roman"/>
          <w:b/>
          <w:bCs/>
          <w:kern w:val="0"/>
          <w14:ligatures w14:val="none"/>
        </w:rPr>
        <w:t>a.</w:t>
      </w:r>
      <w:r w:rsidRPr="00B93195">
        <w:rPr>
          <w:rFonts w:ascii="Gill Sans MT" w:eastAsia="Times New Roman" w:hAnsi="Gill Sans MT" w:cs="Times New Roman"/>
          <w:b/>
          <w:bCs/>
          <w:kern w:val="0"/>
          <w14:ligatures w14:val="none"/>
        </w:rPr>
        <w:t xml:space="preserve"> </w:t>
      </w:r>
      <w:r w:rsidR="00C20920" w:rsidRPr="00297DC0">
        <w:rPr>
          <w:rFonts w:ascii="Gill Sans MT" w:eastAsia="Times New Roman" w:hAnsi="Gill Sans MT" w:cs="Times New Roman"/>
          <w:b/>
          <w:bCs/>
          <w:color w:val="000000" w:themeColor="text1"/>
          <w:kern w:val="0"/>
          <w14:ligatures w14:val="none"/>
        </w:rPr>
        <w:t>Definition of Interest and Conflict of Interest</w:t>
      </w:r>
    </w:p>
    <w:p w14:paraId="6927050C" w14:textId="045FC740" w:rsidR="00C20920" w:rsidRPr="00B93195" w:rsidRDefault="00C20920" w:rsidP="00C20920">
      <w:p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For the purpose of this policy, an interest</w:t>
      </w:r>
      <w:r w:rsidRPr="00B93195">
        <w:rPr>
          <w:rStyle w:val="FootnoteReference"/>
          <w:rFonts w:ascii="Gill Sans MT" w:eastAsia="Times New Roman" w:hAnsi="Gill Sans MT" w:cs="Times New Roman"/>
          <w:kern w:val="0"/>
          <w14:ligatures w14:val="none"/>
        </w:rPr>
        <w:footnoteReference w:id="1"/>
      </w:r>
      <w:r w:rsidRPr="00B93195">
        <w:rPr>
          <w:rFonts w:ascii="Gill Sans MT" w:eastAsia="Times New Roman" w:hAnsi="Gill Sans MT" w:cs="Times New Roman"/>
          <w:kern w:val="0"/>
          <w14:ligatures w14:val="none"/>
        </w:rPr>
        <w:t xml:space="preserve"> refers to any personal, financial, professional, academic, or institutional connection that could reasonably compromise—or be perceived to compromise—an individual’s judgment, objectivity, or ability to act solely in furtherance of tobacco control objectives.</w:t>
      </w:r>
    </w:p>
    <w:p w14:paraId="7D6D45B7" w14:textId="64930E7B" w:rsidR="00C20920" w:rsidRPr="00B93195" w:rsidRDefault="00C20920" w:rsidP="00C20920">
      <w:p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A conflict of interest arises when such an interest creates an actual, potential, or perceived risk that an individual’s actions, decisions, positions or responsibilities may be influenced—directly or indirectly—by factors that are not aligned with the organization’s duty to protect public health from the commercial and other vested interests of the tobacco industry, in accordance with Article 5.3 of the WHO </w:t>
      </w:r>
      <w:r w:rsidR="0054612C">
        <w:rPr>
          <w:rFonts w:ascii="Gill Sans MT" w:eastAsia="Times New Roman" w:hAnsi="Gill Sans MT" w:cs="Times New Roman"/>
          <w:kern w:val="0"/>
          <w14:ligatures w14:val="none"/>
        </w:rPr>
        <w:t>FCTC</w:t>
      </w:r>
      <w:r w:rsidR="00116550">
        <w:rPr>
          <w:rFonts w:ascii="Gill Sans MT" w:eastAsia="Times New Roman" w:hAnsi="Gill Sans MT" w:cs="Times New Roman"/>
          <w:kern w:val="0"/>
          <w14:ligatures w14:val="none"/>
        </w:rPr>
        <w:t xml:space="preserve"> and its Guidelines for Implementation</w:t>
      </w:r>
      <w:r w:rsidRPr="00B93195">
        <w:rPr>
          <w:rFonts w:ascii="Gill Sans MT" w:eastAsia="Times New Roman" w:hAnsi="Gill Sans MT" w:cs="Times New Roman"/>
          <w:kern w:val="0"/>
          <w14:ligatures w14:val="none"/>
        </w:rPr>
        <w:t>.</w:t>
      </w:r>
    </w:p>
    <w:p w14:paraId="6418742A" w14:textId="5B25C6BC" w:rsidR="00C20920" w:rsidRPr="00B93195" w:rsidRDefault="00C20920" w:rsidP="00C20920">
      <w:p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The following core protocols must be applied with respect to interests:</w:t>
      </w:r>
    </w:p>
    <w:p w14:paraId="192D64AC" w14:textId="77777777" w:rsidR="00C20920" w:rsidRPr="00B93195" w:rsidRDefault="00C20920" w:rsidP="00C20920">
      <w:pPr>
        <w:numPr>
          <w:ilvl w:val="0"/>
          <w:numId w:val="27"/>
        </w:num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Identify – All relevant interests must be disclosed, documented, and assessed, regardless of when the relationship occurred.</w:t>
      </w:r>
    </w:p>
    <w:p w14:paraId="7D7BE629" w14:textId="7206A6EA" w:rsidR="00C20920" w:rsidRPr="00B93195" w:rsidRDefault="00C20920" w:rsidP="00C20920">
      <w:pPr>
        <w:numPr>
          <w:ilvl w:val="0"/>
          <w:numId w:val="27"/>
        </w:num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Prevent – Pre-engagement screening and due diligence are required to prevent exposure to tobacco industry engagements.</w:t>
      </w:r>
    </w:p>
    <w:p w14:paraId="15399E45" w14:textId="0234338C" w:rsidR="00C20920" w:rsidRPr="00B93195" w:rsidRDefault="00C20920" w:rsidP="00C20920">
      <w:pPr>
        <w:numPr>
          <w:ilvl w:val="0"/>
          <w:numId w:val="27"/>
        </w:num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lastRenderedPageBreak/>
        <w:t xml:space="preserve">Manage – In case of conflict of interest, appropriate restrictions shall be imposed (e.g., recusal, transparency or refer to the </w:t>
      </w:r>
      <w:r w:rsidR="00CA688D" w:rsidRPr="00CA688D">
        <w:rPr>
          <w:rFonts w:ascii="Gill Sans MT" w:eastAsia="Times New Roman" w:hAnsi="Gill Sans MT" w:cs="Times New Roman"/>
          <w:kern w:val="0"/>
          <w14:ligatures w14:val="none"/>
        </w:rPr>
        <w:t>Framework for Sanctions and Corrective Actions in Cases of Conflict of Interest</w:t>
      </w:r>
      <w:r w:rsidRPr="00B93195">
        <w:rPr>
          <w:rFonts w:ascii="Gill Sans MT" w:eastAsia="Times New Roman" w:hAnsi="Gill Sans MT" w:cs="Times New Roman"/>
          <w:kern w:val="0"/>
          <w14:ligatures w14:val="none"/>
        </w:rPr>
        <w:t>).</w:t>
      </w:r>
    </w:p>
    <w:p w14:paraId="5E797BC8" w14:textId="5DFD913C" w:rsidR="00C20920" w:rsidRPr="00B93195" w:rsidRDefault="00C20920" w:rsidP="00C20920">
      <w:pPr>
        <w:numPr>
          <w:ilvl w:val="0"/>
          <w:numId w:val="27"/>
        </w:num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Resolve – All violations shall be addressed through corrective actions, including termination of relationships, public disclosure. If there is difficulty or inability to resolve the issue, refer it for independent review.</w:t>
      </w:r>
    </w:p>
    <w:p w14:paraId="4D531AE0" w14:textId="43AE33B9" w:rsidR="00C20920" w:rsidRDefault="00C20920" w:rsidP="006A1E68">
      <w:pPr>
        <w:spacing w:before="100" w:beforeAutospacing="1" w:after="100" w:afterAutospacing="1" w:line="240" w:lineRule="auto"/>
        <w:outlineLvl w:val="1"/>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All references to “interest” or “conflict of interest” throughout this policy shall be interpreted in accordance with this section.</w:t>
      </w:r>
    </w:p>
    <w:p w14:paraId="4830F0E1" w14:textId="77777777" w:rsidR="003C46A0" w:rsidRPr="003C46A0" w:rsidRDefault="003C46A0" w:rsidP="006A1E68">
      <w:pPr>
        <w:spacing w:before="100" w:beforeAutospacing="1" w:after="100" w:afterAutospacing="1" w:line="240" w:lineRule="auto"/>
        <w:outlineLvl w:val="1"/>
        <w:rPr>
          <w:rFonts w:ascii="Gill Sans MT" w:eastAsia="Times New Roman" w:hAnsi="Gill Sans MT" w:cs="Times New Roman"/>
          <w:kern w:val="0"/>
          <w14:ligatures w14:val="none"/>
        </w:rPr>
      </w:pPr>
    </w:p>
    <w:p w14:paraId="19858F4E" w14:textId="03E6CE42" w:rsidR="006A1E68" w:rsidRPr="00B93195" w:rsidRDefault="00C20920"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 xml:space="preserve">1.b. </w:t>
      </w:r>
      <w:r w:rsidR="006A1E68" w:rsidRPr="00B93195">
        <w:rPr>
          <w:rFonts w:ascii="Gill Sans MT" w:eastAsia="Times New Roman" w:hAnsi="Gill Sans MT" w:cs="Times New Roman"/>
          <w:b/>
          <w:bCs/>
          <w:kern w:val="0"/>
          <w14:ligatures w14:val="none"/>
        </w:rPr>
        <w:t>Definition of Tobacco Industry Entities</w:t>
      </w:r>
      <w:r w:rsidR="00DB06B5">
        <w:rPr>
          <w:rFonts w:ascii="Gill Sans MT" w:eastAsia="Times New Roman" w:hAnsi="Gill Sans MT" w:cs="Times New Roman"/>
          <w:b/>
          <w:bCs/>
          <w:kern w:val="0"/>
          <w14:ligatures w14:val="none"/>
        </w:rPr>
        <w:t xml:space="preserve"> </w:t>
      </w:r>
    </w:p>
    <w:p w14:paraId="33D767D2" w14:textId="4BBB6DE5" w:rsidR="006A1E68" w:rsidRPr="00B93195" w:rsidRDefault="006A1E68" w:rsidP="0017393C">
      <w:pPr>
        <w:pStyle w:val="ListParagraph"/>
        <w:numPr>
          <w:ilvl w:val="0"/>
          <w:numId w:val="16"/>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In accordance with WHO FCTC Article 5.3 </w:t>
      </w:r>
      <w:r w:rsidR="00F34719" w:rsidRPr="00B93195">
        <w:rPr>
          <w:rFonts w:ascii="Gill Sans MT" w:eastAsia="Times New Roman" w:hAnsi="Gill Sans MT" w:cs="Times New Roman"/>
          <w:kern w:val="0"/>
          <w14:ligatures w14:val="none"/>
        </w:rPr>
        <w:t>Guidelines</w:t>
      </w:r>
      <w:r w:rsidR="00F34719" w:rsidRPr="00B93195">
        <w:rPr>
          <w:rFonts w:ascii="Gill Sans MT" w:eastAsia="Times New Roman" w:hAnsi="Gill Sans MT" w:cs="Times New Roman"/>
          <w:kern w:val="0"/>
          <w:vertAlign w:val="superscript"/>
          <w14:ligatures w14:val="none"/>
        </w:rPr>
        <w:t xml:space="preserve"> [</w:t>
      </w:r>
      <w:r w:rsidRPr="00B93195">
        <w:rPr>
          <w:rFonts w:ascii="Gill Sans MT" w:eastAsia="Times New Roman" w:hAnsi="Gill Sans MT" w:cs="Times New Roman"/>
          <w:kern w:val="0"/>
          <w:vertAlign w:val="superscript"/>
          <w14:ligatures w14:val="none"/>
        </w:rPr>
        <w:t>1]</w:t>
      </w:r>
      <w:r w:rsidRPr="00B93195">
        <w:rPr>
          <w:rFonts w:ascii="Gill Sans MT" w:eastAsia="Times New Roman" w:hAnsi="Gill Sans MT" w:cs="Times New Roman"/>
          <w:kern w:val="0"/>
          <w14:ligatures w14:val="none"/>
        </w:rPr>
        <w:t xml:space="preserve">, tobacco industry entities </w:t>
      </w:r>
      <w:r w:rsidR="00B4313B" w:rsidRPr="00B93195">
        <w:rPr>
          <w:rFonts w:ascii="Gill Sans MT" w:eastAsia="Times New Roman" w:hAnsi="Gill Sans MT" w:cs="Times New Roman"/>
          <w:kern w:val="0"/>
          <w14:ligatures w14:val="none"/>
        </w:rPr>
        <w:t>include</w:t>
      </w:r>
      <w:r w:rsidR="00B4313B" w:rsidRPr="00B93195">
        <w:rPr>
          <w:rFonts w:ascii="Gill Sans MT" w:eastAsia="Times New Roman" w:hAnsi="Gill Sans MT" w:cs="Times New Roman"/>
          <w:kern w:val="0"/>
          <w:vertAlign w:val="superscript"/>
          <w14:ligatures w14:val="none"/>
        </w:rPr>
        <w:t xml:space="preserve"> [</w:t>
      </w:r>
      <w:r w:rsidR="00B4313B">
        <w:rPr>
          <w:rFonts w:ascii="Gill Sans MT" w:eastAsia="Times New Roman" w:hAnsi="Gill Sans MT" w:cs="Times New Roman"/>
          <w:kern w:val="0"/>
          <w:vertAlign w:val="superscript"/>
          <w14:ligatures w14:val="none"/>
        </w:rPr>
        <w:t>2</w:t>
      </w:r>
      <w:r w:rsidR="00B4313B" w:rsidRPr="00B93195">
        <w:rPr>
          <w:rFonts w:ascii="Gill Sans MT" w:eastAsia="Times New Roman" w:hAnsi="Gill Sans MT" w:cs="Times New Roman"/>
          <w:kern w:val="0"/>
          <w:vertAlign w:val="superscript"/>
          <w14:ligatures w14:val="none"/>
        </w:rPr>
        <w:t>]</w:t>
      </w:r>
      <w:r w:rsidR="0017393C" w:rsidRPr="00B93195">
        <w:rPr>
          <w:rFonts w:ascii="Gill Sans MT" w:eastAsia="Times New Roman" w:hAnsi="Gill Sans MT" w:cs="Times New Roman"/>
          <w:kern w:val="0"/>
          <w14:ligatures w14:val="none"/>
        </w:rPr>
        <w:t>, but is not limited to</w:t>
      </w:r>
      <w:r w:rsidRPr="00B93195">
        <w:rPr>
          <w:rFonts w:ascii="Gill Sans MT" w:eastAsia="Times New Roman" w:hAnsi="Gill Sans MT" w:cs="Times New Roman"/>
          <w:kern w:val="0"/>
          <w14:ligatures w14:val="none"/>
        </w:rPr>
        <w:t>:</w:t>
      </w:r>
    </w:p>
    <w:p w14:paraId="69B6BDE0" w14:textId="7D2F7FF0" w:rsidR="006A1E68" w:rsidRPr="00B93195" w:rsidRDefault="006A1E68" w:rsidP="0017393C">
      <w:pPr>
        <w:pStyle w:val="ListParagraph"/>
        <w:numPr>
          <w:ilvl w:val="1"/>
          <w:numId w:val="16"/>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Tobacco manufacturers, wholesalers, importers, and exporters</w:t>
      </w:r>
    </w:p>
    <w:p w14:paraId="229F2B5E" w14:textId="4608D06A" w:rsidR="006A1E68" w:rsidRPr="00B93195" w:rsidRDefault="006A1E68" w:rsidP="0017393C">
      <w:pPr>
        <w:pStyle w:val="ListParagraph"/>
        <w:numPr>
          <w:ilvl w:val="1"/>
          <w:numId w:val="16"/>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Parent, subsidiary, and affiliate companies of tobacco manufacturers</w:t>
      </w:r>
    </w:p>
    <w:p w14:paraId="4F4F8BB1" w14:textId="64B807CE" w:rsidR="006A1E68" w:rsidRPr="00B93195" w:rsidRDefault="006A1E68" w:rsidP="0017393C">
      <w:pPr>
        <w:pStyle w:val="ListParagraph"/>
        <w:numPr>
          <w:ilvl w:val="1"/>
          <w:numId w:val="16"/>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Any organization or individual that represents tobacco industry interests, including but not limited to:</w:t>
      </w:r>
    </w:p>
    <w:p w14:paraId="39AED746" w14:textId="77777777" w:rsidR="006A1E68" w:rsidRPr="00B93195" w:rsidRDefault="006A1E68" w:rsidP="0017393C">
      <w:pPr>
        <w:pStyle w:val="ListParagraph"/>
        <w:numPr>
          <w:ilvl w:val="0"/>
          <w:numId w:val="2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Law firms representing tobacco companies</w:t>
      </w:r>
    </w:p>
    <w:p w14:paraId="03856755" w14:textId="77777777" w:rsidR="006A1E68" w:rsidRPr="00B93195" w:rsidRDefault="006A1E68" w:rsidP="0017393C">
      <w:pPr>
        <w:pStyle w:val="ListParagraph"/>
        <w:numPr>
          <w:ilvl w:val="0"/>
          <w:numId w:val="2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Public relations companies working for the tobacco industry</w:t>
      </w:r>
    </w:p>
    <w:p w14:paraId="2FD9E59F" w14:textId="77777777" w:rsidR="006A1E68" w:rsidRPr="00B93195" w:rsidRDefault="006A1E68" w:rsidP="0017393C">
      <w:pPr>
        <w:pStyle w:val="ListParagraph"/>
        <w:numPr>
          <w:ilvl w:val="0"/>
          <w:numId w:val="2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Consultants and lobbyists advancing industry positions</w:t>
      </w:r>
    </w:p>
    <w:p w14:paraId="554AD203" w14:textId="2FE7A1B8" w:rsidR="006A1E68" w:rsidRPr="00B93195" w:rsidRDefault="006A1E68" w:rsidP="00426127">
      <w:pPr>
        <w:pStyle w:val="ListParagraph"/>
        <w:numPr>
          <w:ilvl w:val="1"/>
          <w:numId w:val="16"/>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Organizations receiving funding from the tobacco industry, including:</w:t>
      </w:r>
    </w:p>
    <w:p w14:paraId="3267A158" w14:textId="7073BB09" w:rsidR="006A1E68" w:rsidRPr="00B93195" w:rsidRDefault="006A1E68" w:rsidP="0017393C">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Front groups and third-party </w:t>
      </w:r>
      <w:r w:rsidR="00F34719" w:rsidRPr="00B93195">
        <w:rPr>
          <w:rFonts w:ascii="Gill Sans MT" w:eastAsia="Times New Roman" w:hAnsi="Gill Sans MT" w:cs="Times New Roman"/>
          <w:kern w:val="0"/>
          <w14:ligatures w14:val="none"/>
        </w:rPr>
        <w:t>allies</w:t>
      </w:r>
      <w:r w:rsidR="00F34719" w:rsidRPr="00B93195">
        <w:rPr>
          <w:rFonts w:ascii="Gill Sans MT" w:eastAsia="Times New Roman" w:hAnsi="Gill Sans MT" w:cs="Times New Roman"/>
          <w:kern w:val="0"/>
          <w:vertAlign w:val="superscript"/>
          <w14:ligatures w14:val="none"/>
        </w:rPr>
        <w:t xml:space="preserve"> [</w:t>
      </w:r>
      <w:r w:rsidR="00B4313B">
        <w:rPr>
          <w:rFonts w:ascii="Gill Sans MT" w:eastAsia="Times New Roman" w:hAnsi="Gill Sans MT" w:cs="Times New Roman"/>
          <w:kern w:val="0"/>
          <w:vertAlign w:val="superscript"/>
          <w14:ligatures w14:val="none"/>
        </w:rPr>
        <w:t>3</w:t>
      </w:r>
      <w:r w:rsidRPr="00B93195">
        <w:rPr>
          <w:rFonts w:ascii="Gill Sans MT" w:eastAsia="Times New Roman" w:hAnsi="Gill Sans MT" w:cs="Times New Roman"/>
          <w:kern w:val="0"/>
          <w:vertAlign w:val="superscript"/>
          <w14:ligatures w14:val="none"/>
        </w:rPr>
        <w:t>]</w:t>
      </w:r>
    </w:p>
    <w:p w14:paraId="4CA58828" w14:textId="22DB4819" w:rsidR="006A1E68" w:rsidRPr="00B93195" w:rsidRDefault="006A1E68" w:rsidP="0017393C">
      <w:pPr>
        <w:pStyle w:val="ListParagraph"/>
        <w:numPr>
          <w:ilvl w:val="0"/>
          <w:numId w:val="17"/>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B93195">
        <w:rPr>
          <w:rFonts w:ascii="Gill Sans MT" w:eastAsia="Times New Roman" w:hAnsi="Gill Sans MT" w:cs="Times New Roman"/>
          <w:kern w:val="0"/>
          <w14:ligatures w14:val="none"/>
        </w:rPr>
        <w:t xml:space="preserve">Research institutions accepting tobacco </w:t>
      </w:r>
      <w:r w:rsidR="00F34719" w:rsidRPr="00B93195">
        <w:rPr>
          <w:rFonts w:ascii="Gill Sans MT" w:eastAsia="Times New Roman" w:hAnsi="Gill Sans MT" w:cs="Times New Roman"/>
          <w:kern w:val="0"/>
          <w14:ligatures w14:val="none"/>
        </w:rPr>
        <w:t>funding</w:t>
      </w:r>
      <w:r w:rsidR="00F34719" w:rsidRPr="00B93195">
        <w:rPr>
          <w:rFonts w:ascii="Gill Sans MT" w:eastAsia="Times New Roman" w:hAnsi="Gill Sans MT" w:cs="Times New Roman"/>
          <w:kern w:val="0"/>
          <w:vertAlign w:val="superscript"/>
          <w14:ligatures w14:val="none"/>
        </w:rPr>
        <w:t xml:space="preserve"> [</w:t>
      </w:r>
      <w:r w:rsidR="00B4313B">
        <w:rPr>
          <w:rFonts w:ascii="Gill Sans MT" w:eastAsia="Times New Roman" w:hAnsi="Gill Sans MT" w:cs="Times New Roman"/>
          <w:kern w:val="0"/>
          <w:vertAlign w:val="superscript"/>
          <w14:ligatures w14:val="none"/>
        </w:rPr>
        <w:t>4</w:t>
      </w:r>
      <w:r w:rsidRPr="00B93195">
        <w:rPr>
          <w:rFonts w:ascii="Gill Sans MT" w:eastAsia="Times New Roman" w:hAnsi="Gill Sans MT" w:cs="Times New Roman"/>
          <w:kern w:val="0"/>
          <w:vertAlign w:val="superscript"/>
          <w14:ligatures w14:val="none"/>
        </w:rPr>
        <w:t>]</w:t>
      </w:r>
    </w:p>
    <w:p w14:paraId="0565428C" w14:textId="5169BC6D" w:rsidR="006A1E68" w:rsidRPr="00B93195" w:rsidRDefault="006A1E68" w:rsidP="0017393C">
      <w:pPr>
        <w:pStyle w:val="ListParagraph"/>
        <w:numPr>
          <w:ilvl w:val="0"/>
          <w:numId w:val="17"/>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B93195">
        <w:rPr>
          <w:rFonts w:ascii="Gill Sans MT" w:eastAsia="Times New Roman" w:hAnsi="Gill Sans MT" w:cs="Times New Roman"/>
          <w:kern w:val="0"/>
          <w14:ligatures w14:val="none"/>
        </w:rPr>
        <w:t xml:space="preserve">Foundations established by tobacco </w:t>
      </w:r>
      <w:r w:rsidR="00F34719" w:rsidRPr="00B93195">
        <w:rPr>
          <w:rFonts w:ascii="Gill Sans MT" w:eastAsia="Times New Roman" w:hAnsi="Gill Sans MT" w:cs="Times New Roman"/>
          <w:kern w:val="0"/>
          <w14:ligatures w14:val="none"/>
        </w:rPr>
        <w:t>companies</w:t>
      </w:r>
      <w:r w:rsidR="00F34719" w:rsidRPr="00B93195">
        <w:rPr>
          <w:rFonts w:ascii="Gill Sans MT" w:eastAsia="Times New Roman" w:hAnsi="Gill Sans MT" w:cs="Times New Roman"/>
          <w:kern w:val="0"/>
          <w:vertAlign w:val="superscript"/>
          <w14:ligatures w14:val="none"/>
        </w:rPr>
        <w:t xml:space="preserve"> [</w:t>
      </w:r>
      <w:r w:rsidR="00B4313B">
        <w:rPr>
          <w:rFonts w:ascii="Gill Sans MT" w:eastAsia="Times New Roman" w:hAnsi="Gill Sans MT" w:cs="Times New Roman"/>
          <w:kern w:val="0"/>
          <w:vertAlign w:val="superscript"/>
          <w14:ligatures w14:val="none"/>
        </w:rPr>
        <w:t>5</w:t>
      </w:r>
      <w:r w:rsidRPr="00B93195">
        <w:rPr>
          <w:rFonts w:ascii="Gill Sans MT" w:eastAsia="Times New Roman" w:hAnsi="Gill Sans MT" w:cs="Times New Roman"/>
          <w:kern w:val="0"/>
          <w:vertAlign w:val="superscript"/>
          <w14:ligatures w14:val="none"/>
        </w:rPr>
        <w:t>]</w:t>
      </w:r>
    </w:p>
    <w:p w14:paraId="18B6AA70" w14:textId="12649ABD" w:rsidR="006A1E68" w:rsidRPr="00B93195" w:rsidRDefault="00426127" w:rsidP="00426127">
      <w:pPr>
        <w:pStyle w:val="ListParagraph"/>
        <w:numPr>
          <w:ilvl w:val="1"/>
          <w:numId w:val="16"/>
        </w:numPr>
        <w:spacing w:before="100" w:beforeAutospacing="1" w:after="100" w:afterAutospacing="1" w:line="240" w:lineRule="auto"/>
        <w:rPr>
          <w:rFonts w:ascii="Gill Sans MT" w:eastAsia="Times New Roman" w:hAnsi="Gill Sans MT" w:cs="Times New Roman"/>
          <w:kern w:val="0"/>
          <w14:ligatures w14:val="none"/>
        </w:rPr>
      </w:pPr>
      <w:r>
        <w:rPr>
          <w:rFonts w:ascii="Gill Sans MT" w:eastAsia="Times New Roman" w:hAnsi="Gill Sans MT" w:cs="Times New Roman"/>
          <w:kern w:val="0"/>
          <w14:ligatures w14:val="none"/>
        </w:rPr>
        <w:t xml:space="preserve"> </w:t>
      </w:r>
      <w:r w:rsidR="006A1E68" w:rsidRPr="00B93195">
        <w:rPr>
          <w:rFonts w:ascii="Gill Sans MT" w:eastAsia="Times New Roman" w:hAnsi="Gill Sans MT" w:cs="Times New Roman"/>
          <w:kern w:val="0"/>
          <w14:ligatures w14:val="none"/>
        </w:rPr>
        <w:t>Entities that work to further tobacco industry interests, including:</w:t>
      </w:r>
    </w:p>
    <w:p w14:paraId="32B5394B" w14:textId="606E772A" w:rsidR="006A1E68" w:rsidRPr="00B93195" w:rsidRDefault="006A1E68" w:rsidP="0017393C">
      <w:pPr>
        <w:pStyle w:val="ListParagraph"/>
        <w:numPr>
          <w:ilvl w:val="0"/>
          <w:numId w:val="19"/>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B93195">
        <w:rPr>
          <w:rFonts w:ascii="Gill Sans MT" w:eastAsia="Times New Roman" w:hAnsi="Gill Sans MT" w:cs="Times New Roman"/>
          <w:kern w:val="0"/>
          <w14:ligatures w14:val="none"/>
        </w:rPr>
        <w:t xml:space="preserve">Industry-established "corporate social responsibility" </w:t>
      </w:r>
      <w:r w:rsidR="00F34719" w:rsidRPr="00B93195">
        <w:rPr>
          <w:rFonts w:ascii="Gill Sans MT" w:eastAsia="Times New Roman" w:hAnsi="Gill Sans MT" w:cs="Times New Roman"/>
          <w:kern w:val="0"/>
          <w14:ligatures w14:val="none"/>
        </w:rPr>
        <w:t xml:space="preserve">initiatives </w:t>
      </w:r>
      <w:r w:rsidR="00F34719" w:rsidRPr="00B93195">
        <w:rPr>
          <w:rFonts w:ascii="Gill Sans MT" w:eastAsia="Times New Roman" w:hAnsi="Gill Sans MT" w:cs="Times New Roman"/>
          <w:kern w:val="0"/>
          <w:vertAlign w:val="superscript"/>
          <w14:ligatures w14:val="none"/>
        </w:rPr>
        <w:t>[</w:t>
      </w:r>
      <w:r w:rsidR="00B4313B">
        <w:rPr>
          <w:rFonts w:ascii="Gill Sans MT" w:eastAsia="Times New Roman" w:hAnsi="Gill Sans MT" w:cs="Times New Roman"/>
          <w:kern w:val="0"/>
          <w:vertAlign w:val="superscript"/>
          <w14:ligatures w14:val="none"/>
        </w:rPr>
        <w:t>6</w:t>
      </w:r>
      <w:r w:rsidRPr="00B93195">
        <w:rPr>
          <w:rFonts w:ascii="Gill Sans MT" w:eastAsia="Times New Roman" w:hAnsi="Gill Sans MT" w:cs="Times New Roman"/>
          <w:kern w:val="0"/>
          <w:vertAlign w:val="superscript"/>
          <w14:ligatures w14:val="none"/>
        </w:rPr>
        <w:t>]</w:t>
      </w:r>
    </w:p>
    <w:p w14:paraId="6D63CB55" w14:textId="08DE70BC" w:rsidR="006A1E68" w:rsidRPr="00B93195" w:rsidRDefault="006A1E68" w:rsidP="0017393C">
      <w:pPr>
        <w:pStyle w:val="ListParagraph"/>
        <w:numPr>
          <w:ilvl w:val="0"/>
          <w:numId w:val="19"/>
        </w:numPr>
        <w:spacing w:before="100" w:beforeAutospacing="1" w:after="100" w:afterAutospacing="1" w:line="240" w:lineRule="auto"/>
        <w:rPr>
          <w:rFonts w:ascii="Gill Sans MT" w:eastAsia="Times New Roman" w:hAnsi="Gill Sans MT" w:cs="Times New Roman"/>
          <w:kern w:val="0"/>
          <w:vertAlign w:val="superscript"/>
          <w14:ligatures w14:val="none"/>
        </w:rPr>
      </w:pPr>
      <w:r w:rsidRPr="00B93195">
        <w:rPr>
          <w:rFonts w:ascii="Gill Sans MT" w:eastAsia="Times New Roman" w:hAnsi="Gill Sans MT" w:cs="Times New Roman"/>
          <w:kern w:val="0"/>
          <w14:ligatures w14:val="none"/>
        </w:rPr>
        <w:t>Organizations promoting "reduced-harm" products while opposing evidence-based measures</w:t>
      </w:r>
      <w:r w:rsidR="00F34719" w:rsidRPr="00B93195">
        <w:rPr>
          <w:rFonts w:ascii="Gill Sans MT" w:eastAsia="Times New Roman" w:hAnsi="Gill Sans MT" w:cs="Times New Roman"/>
          <w:kern w:val="0"/>
          <w14:ligatures w14:val="none"/>
        </w:rPr>
        <w:t xml:space="preserve"> </w:t>
      </w:r>
      <w:r w:rsidRPr="00B93195">
        <w:rPr>
          <w:rFonts w:ascii="Gill Sans MT" w:eastAsia="Times New Roman" w:hAnsi="Gill Sans MT" w:cs="Times New Roman"/>
          <w:kern w:val="0"/>
          <w:vertAlign w:val="superscript"/>
          <w14:ligatures w14:val="none"/>
        </w:rPr>
        <w:t>[</w:t>
      </w:r>
      <w:r w:rsidR="00B4313B">
        <w:rPr>
          <w:rFonts w:ascii="Gill Sans MT" w:eastAsia="Times New Roman" w:hAnsi="Gill Sans MT" w:cs="Times New Roman"/>
          <w:kern w:val="0"/>
          <w:vertAlign w:val="superscript"/>
          <w14:ligatures w14:val="none"/>
        </w:rPr>
        <w:t>7</w:t>
      </w:r>
      <w:r w:rsidRPr="00B93195">
        <w:rPr>
          <w:rFonts w:ascii="Gill Sans MT" w:eastAsia="Times New Roman" w:hAnsi="Gill Sans MT" w:cs="Times New Roman"/>
          <w:kern w:val="0"/>
          <w:vertAlign w:val="superscript"/>
          <w14:ligatures w14:val="none"/>
        </w:rPr>
        <w:t>]</w:t>
      </w:r>
    </w:p>
    <w:p w14:paraId="287C7AF6" w14:textId="5897940B" w:rsidR="006A1E68" w:rsidRPr="00B93195" w:rsidRDefault="006A1E68" w:rsidP="0017393C">
      <w:pPr>
        <w:pStyle w:val="ListParagraph"/>
        <w:numPr>
          <w:ilvl w:val="0"/>
          <w:numId w:val="19"/>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Entities that consistently advance tobacco industry policy positions</w:t>
      </w:r>
      <w:r w:rsidR="00F34719" w:rsidRPr="00B93195">
        <w:rPr>
          <w:rFonts w:ascii="Gill Sans MT" w:eastAsia="Times New Roman" w:hAnsi="Gill Sans MT" w:cs="Times New Roman"/>
          <w:kern w:val="0"/>
          <w14:ligatures w14:val="none"/>
        </w:rPr>
        <w:t xml:space="preserve"> </w:t>
      </w:r>
      <w:r w:rsidRPr="00B93195">
        <w:rPr>
          <w:rFonts w:ascii="Gill Sans MT" w:eastAsia="Times New Roman" w:hAnsi="Gill Sans MT" w:cs="Times New Roman"/>
          <w:kern w:val="0"/>
          <w:vertAlign w:val="superscript"/>
          <w14:ligatures w14:val="none"/>
        </w:rPr>
        <w:t>[</w:t>
      </w:r>
      <w:r w:rsidR="00B4313B">
        <w:rPr>
          <w:rFonts w:ascii="Gill Sans MT" w:eastAsia="Times New Roman" w:hAnsi="Gill Sans MT" w:cs="Times New Roman"/>
          <w:kern w:val="0"/>
          <w:vertAlign w:val="superscript"/>
          <w14:ligatures w14:val="none"/>
        </w:rPr>
        <w:t>8</w:t>
      </w:r>
      <w:r w:rsidRPr="00B93195">
        <w:rPr>
          <w:rFonts w:ascii="Gill Sans MT" w:eastAsia="Times New Roman" w:hAnsi="Gill Sans MT" w:cs="Times New Roman"/>
          <w:kern w:val="0"/>
          <w:vertAlign w:val="superscript"/>
          <w14:ligatures w14:val="none"/>
        </w:rPr>
        <w:t>]</w:t>
      </w:r>
    </w:p>
    <w:p w14:paraId="4A85E53E"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2. Comprehensive Disclosure Requirements</w:t>
      </w:r>
    </w:p>
    <w:p w14:paraId="0DB84601" w14:textId="6A3B8846"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All board members, staff, consultants, </w:t>
      </w:r>
      <w:r w:rsidR="001B79FF" w:rsidRPr="00297DC0">
        <w:rPr>
          <w:rFonts w:ascii="Gill Sans MT" w:eastAsia="Times New Roman" w:hAnsi="Gill Sans MT" w:cs="Times New Roman"/>
          <w:color w:val="000000" w:themeColor="text1"/>
          <w:kern w:val="0"/>
          <w14:ligatures w14:val="none"/>
        </w:rPr>
        <w:t xml:space="preserve">contractors, vendors, </w:t>
      </w:r>
      <w:r w:rsidRPr="00B93195">
        <w:rPr>
          <w:rFonts w:ascii="Gill Sans MT" w:eastAsia="Times New Roman" w:hAnsi="Gill Sans MT" w:cs="Times New Roman"/>
          <w:kern w:val="0"/>
          <w14:ligatures w14:val="none"/>
        </w:rPr>
        <w:t>and partners must disclose:</w:t>
      </w:r>
    </w:p>
    <w:p w14:paraId="71625CF7" w14:textId="57D88047" w:rsidR="006A1E68" w:rsidRPr="00B93195" w:rsidRDefault="006A1E68" w:rsidP="0017393C">
      <w:pPr>
        <w:pStyle w:val="ListParagraph"/>
        <w:numPr>
          <w:ilvl w:val="0"/>
          <w:numId w:val="23"/>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Any current or past professional relationship with tobacco industry entities</w:t>
      </w:r>
    </w:p>
    <w:p w14:paraId="6595704E" w14:textId="58861888" w:rsidR="006A1E68" w:rsidRPr="00B93195" w:rsidRDefault="006A1E68" w:rsidP="0017393C">
      <w:pPr>
        <w:pStyle w:val="ListParagraph"/>
        <w:numPr>
          <w:ilvl w:val="0"/>
          <w:numId w:val="23"/>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Financial interests in tobacco </w:t>
      </w:r>
      <w:r w:rsidR="00CF7720">
        <w:rPr>
          <w:rFonts w:ascii="Gill Sans MT" w:eastAsia="Times New Roman" w:hAnsi="Gill Sans MT" w:cs="Times New Roman"/>
          <w:kern w:val="0"/>
          <w14:ligatures w14:val="none"/>
        </w:rPr>
        <w:t>industry</w:t>
      </w:r>
      <w:r w:rsidRPr="00B93195">
        <w:rPr>
          <w:rFonts w:ascii="Gill Sans MT" w:eastAsia="Times New Roman" w:hAnsi="Gill Sans MT" w:cs="Times New Roman"/>
          <w:kern w:val="0"/>
          <w14:ligatures w14:val="none"/>
        </w:rPr>
        <w:t xml:space="preserve"> or their related businesses</w:t>
      </w:r>
    </w:p>
    <w:p w14:paraId="310254DA" w14:textId="64AC05CC" w:rsidR="006A1E68" w:rsidRPr="00297DC0" w:rsidRDefault="006A1E68" w:rsidP="0017393C">
      <w:pPr>
        <w:pStyle w:val="ListParagraph"/>
        <w:numPr>
          <w:ilvl w:val="0"/>
          <w:numId w:val="23"/>
        </w:numPr>
        <w:spacing w:before="100" w:beforeAutospacing="1" w:after="100" w:afterAutospacing="1" w:line="240" w:lineRule="auto"/>
        <w:rPr>
          <w:rFonts w:ascii="Gill Sans MT" w:eastAsia="Times New Roman" w:hAnsi="Gill Sans MT" w:cs="Times New Roman"/>
          <w:color w:val="000000" w:themeColor="text1"/>
          <w:kern w:val="0"/>
          <w14:ligatures w14:val="none"/>
        </w:rPr>
      </w:pPr>
      <w:r w:rsidRPr="00B93195">
        <w:rPr>
          <w:rFonts w:ascii="Gill Sans MT" w:eastAsia="Times New Roman" w:hAnsi="Gill Sans MT" w:cs="Times New Roman"/>
          <w:kern w:val="0"/>
          <w14:ligatures w14:val="none"/>
        </w:rPr>
        <w:t xml:space="preserve">Immediate family members (spouse, parents, children, siblings) </w:t>
      </w:r>
      <w:r w:rsidR="001B79FF" w:rsidRPr="00B93195">
        <w:rPr>
          <w:rFonts w:ascii="Gill Sans MT" w:eastAsia="Times New Roman" w:hAnsi="Gill Sans MT" w:cs="Times New Roman"/>
          <w:kern w:val="0"/>
          <w14:ligatures w14:val="none"/>
        </w:rPr>
        <w:t xml:space="preserve">or members of the household </w:t>
      </w:r>
      <w:r w:rsidRPr="00B93195">
        <w:rPr>
          <w:rFonts w:ascii="Gill Sans MT" w:eastAsia="Times New Roman" w:hAnsi="Gill Sans MT" w:cs="Times New Roman"/>
          <w:kern w:val="0"/>
          <w14:ligatures w14:val="none"/>
        </w:rPr>
        <w:t xml:space="preserve">who work or have worked for </w:t>
      </w:r>
      <w:r w:rsidRPr="00297DC0">
        <w:rPr>
          <w:rFonts w:ascii="Gill Sans MT" w:eastAsia="Times New Roman" w:hAnsi="Gill Sans MT" w:cs="Times New Roman"/>
          <w:color w:val="000000" w:themeColor="text1"/>
          <w:kern w:val="0"/>
          <w14:ligatures w14:val="none"/>
        </w:rPr>
        <w:t xml:space="preserve">tobacco industry entities </w:t>
      </w:r>
    </w:p>
    <w:p w14:paraId="417DF3FB" w14:textId="2A928747" w:rsidR="006A1E68" w:rsidRPr="00B93195" w:rsidRDefault="006A1E68" w:rsidP="0017393C">
      <w:pPr>
        <w:pStyle w:val="ListParagraph"/>
        <w:numPr>
          <w:ilvl w:val="0"/>
          <w:numId w:val="23"/>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Participation in tobacco industry-sponsored events, initiatives</w:t>
      </w:r>
      <w:r w:rsidR="00116550">
        <w:rPr>
          <w:rFonts w:ascii="Gill Sans MT" w:eastAsia="Times New Roman" w:hAnsi="Gill Sans MT" w:cs="Times New Roman"/>
          <w:kern w:val="0"/>
          <w14:ligatures w14:val="none"/>
        </w:rPr>
        <w:t xml:space="preserve"> (i.e. Corporate Social Responsibility)</w:t>
      </w:r>
      <w:r w:rsidRPr="00B93195">
        <w:rPr>
          <w:rFonts w:ascii="Gill Sans MT" w:eastAsia="Times New Roman" w:hAnsi="Gill Sans MT" w:cs="Times New Roman"/>
          <w:kern w:val="0"/>
          <w14:ligatures w14:val="none"/>
        </w:rPr>
        <w:t>, or research</w:t>
      </w:r>
    </w:p>
    <w:p w14:paraId="1805B449" w14:textId="7B63D789" w:rsidR="006A1E68" w:rsidRPr="00B93195" w:rsidRDefault="006A1E68" w:rsidP="0017393C">
      <w:pPr>
        <w:pStyle w:val="ListParagraph"/>
        <w:numPr>
          <w:ilvl w:val="0"/>
          <w:numId w:val="23"/>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Any other relationship that could reasonably be perceived as creating a conflict of interest with tobacco control objectives</w:t>
      </w:r>
    </w:p>
    <w:p w14:paraId="3F658249" w14:textId="27AA2274" w:rsidR="00297DC0" w:rsidRDefault="006A1E68" w:rsidP="006A1E68">
      <w:pPr>
        <w:spacing w:before="100" w:beforeAutospacing="1" w:after="100" w:afterAutospacing="1" w:line="240" w:lineRule="auto"/>
        <w:rPr>
          <w:rFonts w:ascii="Gill Sans MT" w:hAnsi="Gill Sans MT"/>
        </w:rPr>
      </w:pPr>
      <w:r w:rsidRPr="00B93195">
        <w:rPr>
          <w:rFonts w:ascii="Gill Sans MT" w:eastAsia="Times New Roman" w:hAnsi="Gill Sans MT" w:cs="Times New Roman"/>
          <w:kern w:val="0"/>
          <w14:ligatures w14:val="none"/>
        </w:rPr>
        <w:lastRenderedPageBreak/>
        <w:t>Disclosure shall not be limited by time period</w:t>
      </w:r>
      <w:r w:rsidR="00CA688D">
        <w:rPr>
          <w:rFonts w:ascii="Gill Sans MT" w:eastAsia="Times New Roman" w:hAnsi="Gill Sans MT" w:cs="Times New Roman"/>
          <w:kern w:val="0"/>
          <w14:ligatures w14:val="none"/>
        </w:rPr>
        <w:t>.</w:t>
      </w:r>
      <w:r w:rsidRPr="00B93195">
        <w:rPr>
          <w:rFonts w:ascii="Gill Sans MT" w:eastAsia="Times New Roman" w:hAnsi="Gill Sans MT" w:cs="Times New Roman"/>
          <w:kern w:val="0"/>
          <w14:ligatures w14:val="none"/>
        </w:rPr>
        <w:t xml:space="preserve"> </w:t>
      </w:r>
      <w:r w:rsidR="00B93195" w:rsidRPr="00B93195">
        <w:rPr>
          <w:rFonts w:ascii="Gill Sans MT" w:eastAsia="Times New Roman" w:hAnsi="Gill Sans MT" w:cs="Times New Roman"/>
          <w:kern w:val="0"/>
          <w14:ligatures w14:val="none"/>
        </w:rPr>
        <w:t>A</w:t>
      </w:r>
      <w:r w:rsidR="00B93195" w:rsidRPr="00B93195">
        <w:rPr>
          <w:rFonts w:ascii="Gill Sans MT" w:hAnsi="Gill Sans MT"/>
        </w:rPr>
        <w:t xml:space="preserve">ll relevant actual, potential, or perceived interests must be disclosed regardless of when the relationship occurred or </w:t>
      </w:r>
      <w:r w:rsidR="00297DC0" w:rsidRPr="00B93195">
        <w:rPr>
          <w:rFonts w:ascii="Gill Sans MT" w:hAnsi="Gill Sans MT"/>
        </w:rPr>
        <w:t>ended.</w:t>
      </w:r>
    </w:p>
    <w:p w14:paraId="4F6FD963" w14:textId="07E3A7EF" w:rsidR="001B79FF" w:rsidRPr="00297DC0" w:rsidRDefault="003C46A0" w:rsidP="006A1E68">
      <w:pPr>
        <w:spacing w:before="100" w:beforeAutospacing="1" w:after="100" w:afterAutospacing="1" w:line="240" w:lineRule="auto"/>
        <w:rPr>
          <w:rFonts w:ascii="Gill Sans MT" w:hAnsi="Gill Sans MT"/>
        </w:rPr>
      </w:pPr>
      <w:r w:rsidRPr="008C5082">
        <w:rPr>
          <w:rFonts w:ascii="Gill Sans MT" w:eastAsia="Times New Roman" w:hAnsi="Gill Sans MT" w:cs="Times New Roman"/>
          <w:kern w:val="0"/>
          <w14:ligatures w14:val="none"/>
        </w:rPr>
        <w:t>Refer</w:t>
      </w:r>
      <w:r w:rsidR="00C20920" w:rsidRPr="008C5082">
        <w:rPr>
          <w:rFonts w:ascii="Gill Sans MT" w:eastAsia="Times New Roman" w:hAnsi="Gill Sans MT" w:cs="Times New Roman"/>
          <w:kern w:val="0"/>
          <w14:ligatures w14:val="none"/>
        </w:rPr>
        <w:t xml:space="preserve"> Section 1 for the full definition of interest and conflict of interest.</w:t>
      </w:r>
    </w:p>
    <w:p w14:paraId="545967CC"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3. Non-Engagement Standards</w:t>
      </w:r>
    </w:p>
    <w:p w14:paraId="04EFE75D" w14:textId="2BCB3A7A"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Our organization will not</w:t>
      </w:r>
      <w:r w:rsidR="001B79FF" w:rsidRPr="00B93195">
        <w:rPr>
          <w:rFonts w:ascii="Gill Sans MT" w:eastAsia="Times New Roman" w:hAnsi="Gill Sans MT" w:cs="Times New Roman"/>
          <w:kern w:val="0"/>
          <w14:ligatures w14:val="none"/>
        </w:rPr>
        <w:t>, among others</w:t>
      </w:r>
      <w:r w:rsidRPr="00B93195">
        <w:rPr>
          <w:rFonts w:ascii="Gill Sans MT" w:eastAsia="Times New Roman" w:hAnsi="Gill Sans MT" w:cs="Times New Roman"/>
          <w:kern w:val="0"/>
          <w14:ligatures w14:val="none"/>
        </w:rPr>
        <w:t>:</w:t>
      </w:r>
    </w:p>
    <w:p w14:paraId="028B7DA2" w14:textId="0D8AAF15" w:rsidR="006A1E68" w:rsidRPr="00B93195" w:rsidRDefault="006A1E68" w:rsidP="001B79FF">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Accept funding or resources from tobacco industry entities (direct or indirect)</w:t>
      </w:r>
    </w:p>
    <w:p w14:paraId="3C5F4EB9" w14:textId="250B6C60" w:rsidR="006A1E68" w:rsidRPr="00B93195" w:rsidRDefault="006A1E68" w:rsidP="001B79FF">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Partner with organizations that have tobacco industry connections</w:t>
      </w:r>
    </w:p>
    <w:p w14:paraId="2F5BE2C1" w14:textId="4A802F83" w:rsidR="006A1E68" w:rsidRPr="00B93195" w:rsidRDefault="006A1E68" w:rsidP="001B79FF">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Include in governance or advisory roles individuals with tobacco industry ties</w:t>
      </w:r>
    </w:p>
    <w:p w14:paraId="7316E4E5" w14:textId="1FB737D6" w:rsidR="006A1E68" w:rsidRPr="00B93195" w:rsidRDefault="006A1E68" w:rsidP="001B79FF">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Participate in tobacco industry-sponsored initiatives, including "corporate social responsibility" programs</w:t>
      </w:r>
    </w:p>
    <w:p w14:paraId="50581CC7" w14:textId="01DE6F34" w:rsidR="006A1E68" w:rsidRPr="00B93195" w:rsidRDefault="006A1E68" w:rsidP="001B79FF">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Engage with industry-established research programs or foundations</w:t>
      </w:r>
    </w:p>
    <w:p w14:paraId="5F54D43C" w14:textId="29D2EE4F" w:rsidR="006A1E68" w:rsidRPr="00B93195" w:rsidRDefault="006A1E68" w:rsidP="001B79FF">
      <w:pPr>
        <w:pStyle w:val="ListParagraph"/>
        <w:numPr>
          <w:ilvl w:val="0"/>
          <w:numId w:val="1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Participate in forums, meetings, or initiatives where the tobacco industry is included as a stakeholder</w:t>
      </w:r>
    </w:p>
    <w:p w14:paraId="545EE8BF"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4. Limited Exception Clause</w:t>
      </w:r>
    </w:p>
    <w:p w14:paraId="5813D741" w14:textId="4A17493B" w:rsidR="006A1E68" w:rsidRPr="00B93195" w:rsidRDefault="006A1E68" w:rsidP="006A1E68">
      <w:pPr>
        <w:spacing w:before="100" w:beforeAutospacing="1" w:after="100" w:afterAutospacing="1" w:line="240" w:lineRule="auto"/>
        <w:outlineLvl w:val="2"/>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4.</w:t>
      </w:r>
      <w:r w:rsidR="00F0665E">
        <w:rPr>
          <w:rFonts w:ascii="Gill Sans MT" w:eastAsia="Times New Roman" w:hAnsi="Gill Sans MT" w:cs="Times New Roman"/>
          <w:b/>
          <w:bCs/>
          <w:kern w:val="0"/>
          <w14:ligatures w14:val="none"/>
        </w:rPr>
        <w:t xml:space="preserve"> a.</w:t>
      </w:r>
      <w:r w:rsidRPr="00B93195">
        <w:rPr>
          <w:rFonts w:ascii="Gill Sans MT" w:eastAsia="Times New Roman" w:hAnsi="Gill Sans MT" w:cs="Times New Roman"/>
          <w:b/>
          <w:bCs/>
          <w:kern w:val="0"/>
          <w14:ligatures w14:val="none"/>
        </w:rPr>
        <w:t xml:space="preserve"> Scope of Exceptions</w:t>
      </w:r>
    </w:p>
    <w:p w14:paraId="02D613B2" w14:textId="46B67A34" w:rsidR="0017393C" w:rsidRPr="00B93195" w:rsidRDefault="006A1E68" w:rsidP="0017393C">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Exceptions to the non-engagement standard shall be considered </w:t>
      </w:r>
      <w:r w:rsidR="0017393C" w:rsidRPr="00B93195">
        <w:rPr>
          <w:rFonts w:ascii="Gill Sans MT" w:eastAsia="Times New Roman" w:hAnsi="Gill Sans MT" w:cs="Times New Roman"/>
          <w:b/>
          <w:bCs/>
          <w:kern w:val="0"/>
          <w14:ligatures w14:val="none"/>
        </w:rPr>
        <w:t>strictly necessary for the effective promotion of tobacco control objectives, such as:</w:t>
      </w:r>
    </w:p>
    <w:p w14:paraId="0422B146" w14:textId="77777777"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 Legitimate monitoring, research, or advocacy activities that serve tobacco control objectives, such as:</w:t>
      </w:r>
    </w:p>
    <w:p w14:paraId="41F76D59" w14:textId="77777777" w:rsidR="006A1E68" w:rsidRPr="00B93195" w:rsidRDefault="006A1E68" w:rsidP="006A1E68">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Attending shareholder meetings to advance accountability</w:t>
      </w:r>
    </w:p>
    <w:p w14:paraId="4C2ABB89" w14:textId="77777777" w:rsidR="006A1E68" w:rsidRPr="00B93195" w:rsidRDefault="006A1E68" w:rsidP="006A1E68">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Participating in legal proceedings against the tobacco industry</w:t>
      </w:r>
    </w:p>
    <w:p w14:paraId="1E694632" w14:textId="658157BD" w:rsidR="006A1E68" w:rsidRPr="00B93195" w:rsidRDefault="006A1E68" w:rsidP="006A1E68">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Conducting research </w:t>
      </w:r>
      <w:r w:rsidR="001B79FF" w:rsidRPr="00B93195">
        <w:rPr>
          <w:rFonts w:ascii="Gill Sans MT" w:eastAsia="Times New Roman" w:hAnsi="Gill Sans MT" w:cs="Times New Roman"/>
          <w:kern w:val="0"/>
          <w14:ligatures w14:val="none"/>
        </w:rPr>
        <w:t xml:space="preserve">/ reporting </w:t>
      </w:r>
      <w:r w:rsidRPr="00B93195">
        <w:rPr>
          <w:rFonts w:ascii="Gill Sans MT" w:eastAsia="Times New Roman" w:hAnsi="Gill Sans MT" w:cs="Times New Roman"/>
          <w:kern w:val="0"/>
          <w14:ligatures w14:val="none"/>
        </w:rPr>
        <w:t>on industry tactics and interference</w:t>
      </w:r>
    </w:p>
    <w:p w14:paraId="4730848E" w14:textId="77777777"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b) Legally mandated interactions required by court order, legislative summons, or regulatory requirement</w:t>
      </w:r>
    </w:p>
    <w:p w14:paraId="25DA01F9" w14:textId="7A613119" w:rsidR="0017393C" w:rsidRPr="00B93195" w:rsidRDefault="0017393C" w:rsidP="0017393C">
      <w:pPr>
        <w:spacing w:before="100" w:beforeAutospacing="1" w:after="100" w:afterAutospacing="1" w:line="240" w:lineRule="auto"/>
        <w:outlineLvl w:val="2"/>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4.</w:t>
      </w:r>
      <w:r w:rsidR="002D54B9">
        <w:rPr>
          <w:rFonts w:ascii="Gill Sans MT" w:eastAsia="Times New Roman" w:hAnsi="Gill Sans MT" w:cs="Times New Roman"/>
          <w:b/>
          <w:bCs/>
          <w:kern w:val="0"/>
          <w14:ligatures w14:val="none"/>
        </w:rPr>
        <w:t>b.</w:t>
      </w:r>
      <w:r w:rsidRPr="00B93195">
        <w:rPr>
          <w:rFonts w:ascii="Gill Sans MT" w:eastAsia="Times New Roman" w:hAnsi="Gill Sans MT" w:cs="Times New Roman"/>
          <w:b/>
          <w:bCs/>
          <w:kern w:val="0"/>
          <w14:ligatures w14:val="none"/>
        </w:rPr>
        <w:t xml:space="preserve"> Limitations on Exceptions</w:t>
      </w:r>
    </w:p>
    <w:p w14:paraId="378A7431" w14:textId="77777777" w:rsidR="0017393C" w:rsidRPr="00B93195" w:rsidRDefault="0017393C" w:rsidP="0017393C">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No exceptions shall be granted for:</w:t>
      </w:r>
    </w:p>
    <w:p w14:paraId="55984142" w14:textId="77777777" w:rsidR="0017393C" w:rsidRPr="00B93195" w:rsidRDefault="0017393C" w:rsidP="0017393C">
      <w:pPr>
        <w:numPr>
          <w:ilvl w:val="0"/>
          <w:numId w:val="9"/>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Activities that could be reasonably perceived as legitimizing the tobacco industry</w:t>
      </w:r>
    </w:p>
    <w:p w14:paraId="4D0C696D" w14:textId="77777777" w:rsidR="0017393C" w:rsidRPr="00B93195" w:rsidRDefault="0017393C" w:rsidP="0017393C">
      <w:pPr>
        <w:numPr>
          <w:ilvl w:val="0"/>
          <w:numId w:val="9"/>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Engagements that involve funding or resource exchange</w:t>
      </w:r>
    </w:p>
    <w:p w14:paraId="70355C60" w14:textId="77777777" w:rsidR="0017393C" w:rsidRPr="00B93195" w:rsidRDefault="0017393C" w:rsidP="0017393C">
      <w:pPr>
        <w:numPr>
          <w:ilvl w:val="0"/>
          <w:numId w:val="9"/>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Activities where industry could claim partnership or collaboration</w:t>
      </w:r>
    </w:p>
    <w:p w14:paraId="4A25D0A7" w14:textId="77777777" w:rsidR="0017393C" w:rsidRPr="00B93195" w:rsidRDefault="0017393C" w:rsidP="0017393C">
      <w:pPr>
        <w:numPr>
          <w:ilvl w:val="0"/>
          <w:numId w:val="9"/>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Any interaction where public health benefit cannot be clearly demonstrated</w:t>
      </w:r>
    </w:p>
    <w:p w14:paraId="27C26139" w14:textId="77777777" w:rsidR="0017393C" w:rsidRPr="00B93195" w:rsidRDefault="0017393C" w:rsidP="0017393C">
      <w:pPr>
        <w:numPr>
          <w:ilvl w:val="0"/>
          <w:numId w:val="9"/>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Situations where alternative approaches without industry engagement exist</w:t>
      </w:r>
    </w:p>
    <w:p w14:paraId="3BE8F1C4" w14:textId="7DA59606" w:rsidR="006A1E68" w:rsidRPr="00B93195" w:rsidRDefault="006A1E68" w:rsidP="006A1E68">
      <w:pPr>
        <w:spacing w:before="100" w:beforeAutospacing="1" w:after="100" w:afterAutospacing="1" w:line="240" w:lineRule="auto"/>
        <w:outlineLvl w:val="2"/>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lastRenderedPageBreak/>
        <w:t>4.</w:t>
      </w:r>
      <w:r w:rsidR="002D54B9">
        <w:rPr>
          <w:rFonts w:ascii="Gill Sans MT" w:eastAsia="Times New Roman" w:hAnsi="Gill Sans MT" w:cs="Times New Roman"/>
          <w:b/>
          <w:bCs/>
          <w:kern w:val="0"/>
          <w14:ligatures w14:val="none"/>
        </w:rPr>
        <w:t>c.</w:t>
      </w:r>
      <w:r w:rsidRPr="00B93195">
        <w:rPr>
          <w:rFonts w:ascii="Gill Sans MT" w:eastAsia="Times New Roman" w:hAnsi="Gill Sans MT" w:cs="Times New Roman"/>
          <w:b/>
          <w:bCs/>
          <w:kern w:val="0"/>
          <w14:ligatures w14:val="none"/>
        </w:rPr>
        <w:t xml:space="preserve"> Exception Authorization Process</w:t>
      </w:r>
    </w:p>
    <w:p w14:paraId="651225ED" w14:textId="549F9465" w:rsidR="006A1E68" w:rsidRPr="00B93195" w:rsidRDefault="0017393C"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A written authorization should be secured for the exceptions if these comply with the conditions provided. The authorization must be specific and timebound and should comply with </w:t>
      </w:r>
      <w:r w:rsidR="004778A5" w:rsidRPr="00B93195">
        <w:rPr>
          <w:rFonts w:ascii="Gill Sans MT" w:eastAsia="Times New Roman" w:hAnsi="Gill Sans MT" w:cs="Times New Roman"/>
          <w:kern w:val="0"/>
          <w14:ligatures w14:val="none"/>
        </w:rPr>
        <w:t xml:space="preserve">established </w:t>
      </w:r>
      <w:r w:rsidRPr="00B93195">
        <w:rPr>
          <w:rFonts w:ascii="Gill Sans MT" w:eastAsia="Times New Roman" w:hAnsi="Gill Sans MT" w:cs="Times New Roman"/>
          <w:kern w:val="0"/>
          <w14:ligatures w14:val="none"/>
        </w:rPr>
        <w:t>procedures</w:t>
      </w:r>
      <w:r w:rsidR="004778A5" w:rsidRPr="00B93195">
        <w:rPr>
          <w:rFonts w:ascii="Gill Sans MT" w:eastAsia="Times New Roman" w:hAnsi="Gill Sans MT" w:cs="Times New Roman"/>
          <w:kern w:val="0"/>
          <w14:ligatures w14:val="none"/>
        </w:rPr>
        <w:t xml:space="preserve"> of the governing body/ board. Disagreements regarding exceptions may also be subjected to external review upon request. In addition, the following</w:t>
      </w:r>
      <w:r w:rsidR="006A1E68" w:rsidRPr="00B93195">
        <w:rPr>
          <w:rFonts w:ascii="Gill Sans MT" w:eastAsia="Times New Roman" w:hAnsi="Gill Sans MT" w:cs="Times New Roman"/>
          <w:kern w:val="0"/>
          <w14:ligatures w14:val="none"/>
        </w:rPr>
        <w:t xml:space="preserve"> mandatory safeguards</w:t>
      </w:r>
      <w:r w:rsidR="004778A5" w:rsidRPr="00B93195">
        <w:rPr>
          <w:rFonts w:ascii="Gill Sans MT" w:eastAsia="Times New Roman" w:hAnsi="Gill Sans MT" w:cs="Times New Roman"/>
          <w:kern w:val="0"/>
          <w14:ligatures w14:val="none"/>
        </w:rPr>
        <w:t xml:space="preserve"> should be adopted</w:t>
      </w:r>
      <w:r w:rsidR="006A1E68" w:rsidRPr="00B93195">
        <w:rPr>
          <w:rFonts w:ascii="Gill Sans MT" w:eastAsia="Times New Roman" w:hAnsi="Gill Sans MT" w:cs="Times New Roman"/>
          <w:kern w:val="0"/>
          <w14:ligatures w14:val="none"/>
        </w:rPr>
        <w:t>:</w:t>
      </w:r>
    </w:p>
    <w:p w14:paraId="0445D77C" w14:textId="77777777" w:rsidR="006A1E68" w:rsidRPr="00B93195" w:rsidRDefault="006A1E68" w:rsidP="006A1E68">
      <w:pPr>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Pre-notification to relevant tobacco control partners</w:t>
      </w:r>
    </w:p>
    <w:p w14:paraId="0668501F" w14:textId="77777777" w:rsidR="006A1E68" w:rsidRPr="00B93195" w:rsidRDefault="006A1E68" w:rsidP="006A1E68">
      <w:pPr>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Public transparency about the engagement purpose</w:t>
      </w:r>
    </w:p>
    <w:p w14:paraId="6AD65ED8" w14:textId="77777777" w:rsidR="006A1E68" w:rsidRPr="00B93195" w:rsidRDefault="006A1E68" w:rsidP="006A1E68">
      <w:pPr>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Detailed documentation of all interactions</w:t>
      </w:r>
    </w:p>
    <w:p w14:paraId="3D017D67" w14:textId="26276C2F" w:rsidR="006A1E68" w:rsidRPr="00B93195" w:rsidRDefault="006A1E68" w:rsidP="006A1E68">
      <w:pPr>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Immediate reporting of any attempted </w:t>
      </w:r>
      <w:r w:rsidR="001B79FF" w:rsidRPr="00B93195">
        <w:rPr>
          <w:rFonts w:ascii="Gill Sans MT" w:eastAsia="Times New Roman" w:hAnsi="Gill Sans MT" w:cs="Times New Roman"/>
          <w:kern w:val="0"/>
          <w14:ligatures w14:val="none"/>
        </w:rPr>
        <w:t xml:space="preserve">tobacco </w:t>
      </w:r>
      <w:r w:rsidRPr="00B93195">
        <w:rPr>
          <w:rFonts w:ascii="Gill Sans MT" w:eastAsia="Times New Roman" w:hAnsi="Gill Sans MT" w:cs="Times New Roman"/>
          <w:kern w:val="0"/>
          <w14:ligatures w14:val="none"/>
        </w:rPr>
        <w:t>industry influence</w:t>
      </w:r>
    </w:p>
    <w:p w14:paraId="7D34B8B3" w14:textId="77777777" w:rsidR="006A1E68" w:rsidRPr="00B93195" w:rsidRDefault="006A1E68" w:rsidP="006A1E68">
      <w:pPr>
        <w:numPr>
          <w:ilvl w:val="0"/>
          <w:numId w:val="7"/>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Post-engagement assessment and public reporting</w:t>
      </w:r>
    </w:p>
    <w:p w14:paraId="23354257"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5. Resolution Procedure</w:t>
      </w:r>
    </w:p>
    <w:p w14:paraId="4D3EC8FE" w14:textId="0A4C5DC3"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When a </w:t>
      </w:r>
      <w:r w:rsidR="0094357D" w:rsidRPr="00B93195">
        <w:rPr>
          <w:rFonts w:ascii="Gill Sans MT" w:eastAsia="Times New Roman" w:hAnsi="Gill Sans MT" w:cs="Times New Roman"/>
          <w:kern w:val="0"/>
          <w14:ligatures w14:val="none"/>
        </w:rPr>
        <w:t xml:space="preserve">potential </w:t>
      </w:r>
      <w:r w:rsidRPr="00B93195">
        <w:rPr>
          <w:rFonts w:ascii="Gill Sans MT" w:eastAsia="Times New Roman" w:hAnsi="Gill Sans MT" w:cs="Times New Roman"/>
          <w:kern w:val="0"/>
          <w14:ligatures w14:val="none"/>
        </w:rPr>
        <w:t>tobacco industry relationship</w:t>
      </w:r>
      <w:r w:rsidR="0094357D" w:rsidRPr="00B93195">
        <w:rPr>
          <w:rFonts w:ascii="Gill Sans MT" w:eastAsia="Times New Roman" w:hAnsi="Gill Sans MT" w:cs="Times New Roman"/>
          <w:kern w:val="0"/>
          <w14:ligatures w14:val="none"/>
        </w:rPr>
        <w:t xml:space="preserve"> or link or conflict of interest</w:t>
      </w:r>
      <w:r w:rsidRPr="00B93195">
        <w:rPr>
          <w:rFonts w:ascii="Gill Sans MT" w:eastAsia="Times New Roman" w:hAnsi="Gill Sans MT" w:cs="Times New Roman"/>
          <w:kern w:val="0"/>
          <w14:ligatures w14:val="none"/>
        </w:rPr>
        <w:t xml:space="preserve"> is identified:</w:t>
      </w:r>
    </w:p>
    <w:p w14:paraId="7CB18A64" w14:textId="77777777" w:rsidR="006A1E68" w:rsidRPr="00B93195" w:rsidRDefault="006A1E68" w:rsidP="004778A5">
      <w:p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 The concern shall be documented and reported to organizational leadership immediately</w:t>
      </w:r>
    </w:p>
    <w:p w14:paraId="42172187" w14:textId="77777777" w:rsidR="006A1E68" w:rsidRPr="00B93195" w:rsidRDefault="006A1E68" w:rsidP="004778A5">
      <w:p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b) The relationship shall be independently verified through established fact-finding procedures</w:t>
      </w:r>
    </w:p>
    <w:p w14:paraId="0C6E13FC" w14:textId="77777777" w:rsidR="006A1E68" w:rsidRPr="00B93195" w:rsidRDefault="006A1E68" w:rsidP="004778A5">
      <w:p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c) If a tobacco industry connection is confirmed, the organization shall:</w:t>
      </w:r>
    </w:p>
    <w:p w14:paraId="76015926" w14:textId="77777777" w:rsidR="006A1E68" w:rsidRPr="00B93195" w:rsidRDefault="006A1E68" w:rsidP="004778A5">
      <w:pPr>
        <w:numPr>
          <w:ilvl w:val="0"/>
          <w:numId w:val="10"/>
        </w:num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Terminate the relationship with the entity or individual</w:t>
      </w:r>
    </w:p>
    <w:p w14:paraId="2CC60642" w14:textId="77777777" w:rsidR="006A1E68" w:rsidRPr="00B93195" w:rsidRDefault="006A1E68" w:rsidP="004778A5">
      <w:pPr>
        <w:numPr>
          <w:ilvl w:val="0"/>
          <w:numId w:val="10"/>
        </w:num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Publicly disclose the situation and actions taken</w:t>
      </w:r>
    </w:p>
    <w:p w14:paraId="43EAEAC4" w14:textId="77777777" w:rsidR="006A1E68" w:rsidRPr="00B93195" w:rsidRDefault="006A1E68" w:rsidP="004778A5">
      <w:pPr>
        <w:numPr>
          <w:ilvl w:val="0"/>
          <w:numId w:val="10"/>
        </w:num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Review internal processes to prevent recurrence</w:t>
      </w:r>
    </w:p>
    <w:p w14:paraId="263D4469" w14:textId="77777777" w:rsidR="006A1E68" w:rsidRPr="00B93195" w:rsidRDefault="006A1E68" w:rsidP="004778A5">
      <w:p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d) There shall be no exceptions to this procedure based on:</w:t>
      </w:r>
    </w:p>
    <w:p w14:paraId="17763681" w14:textId="77777777" w:rsidR="006A1E68" w:rsidRPr="00B93195" w:rsidRDefault="006A1E68" w:rsidP="004778A5">
      <w:pPr>
        <w:numPr>
          <w:ilvl w:val="0"/>
          <w:numId w:val="11"/>
        </w:num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Length of time since the tobacco industry connection</w:t>
      </w:r>
    </w:p>
    <w:p w14:paraId="2D15BBD8" w14:textId="77777777" w:rsidR="006A1E68" w:rsidRPr="00B93195" w:rsidRDefault="006A1E68" w:rsidP="004778A5">
      <w:pPr>
        <w:numPr>
          <w:ilvl w:val="0"/>
          <w:numId w:val="11"/>
        </w:num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Financial value of the relationship</w:t>
      </w:r>
    </w:p>
    <w:p w14:paraId="35D42429" w14:textId="77777777" w:rsidR="006A1E68" w:rsidRPr="00B93195" w:rsidRDefault="006A1E68" w:rsidP="004778A5">
      <w:pPr>
        <w:numPr>
          <w:ilvl w:val="0"/>
          <w:numId w:val="11"/>
        </w:numPr>
        <w:snapToGrid w:val="0"/>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Perceived "independence" of industry-supported entities</w:t>
      </w:r>
    </w:p>
    <w:p w14:paraId="0508AAD0" w14:textId="4C68EC7C" w:rsidR="004778A5" w:rsidRPr="00B93195" w:rsidRDefault="006A1E68" w:rsidP="004778A5">
      <w:pPr>
        <w:numPr>
          <w:ilvl w:val="0"/>
          <w:numId w:val="11"/>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Claims of changed industry behavior or practices</w:t>
      </w:r>
    </w:p>
    <w:p w14:paraId="01D05D7F" w14:textId="54794D74"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bookmarkStart w:id="1" w:name="Section5to9"/>
      <w:r w:rsidRPr="00B93195">
        <w:rPr>
          <w:rFonts w:ascii="Gill Sans MT" w:eastAsia="Times New Roman" w:hAnsi="Gill Sans MT" w:cs="Times New Roman"/>
          <w:b/>
          <w:bCs/>
          <w:kern w:val="0"/>
          <w14:ligatures w14:val="none"/>
        </w:rPr>
        <w:t>5.</w:t>
      </w:r>
      <w:r w:rsidR="002D54B9">
        <w:rPr>
          <w:rFonts w:ascii="Gill Sans MT" w:eastAsia="Times New Roman" w:hAnsi="Gill Sans MT" w:cs="Times New Roman"/>
          <w:b/>
          <w:bCs/>
          <w:kern w:val="0"/>
          <w14:ligatures w14:val="none"/>
        </w:rPr>
        <w:t>a.</w:t>
      </w:r>
      <w:r w:rsidRPr="00B93195">
        <w:rPr>
          <w:rFonts w:ascii="Gill Sans MT" w:eastAsia="Times New Roman" w:hAnsi="Gill Sans MT" w:cs="Times New Roman"/>
          <w:b/>
          <w:bCs/>
          <w:kern w:val="0"/>
          <w14:ligatures w14:val="none"/>
        </w:rPr>
        <w:t xml:space="preserve"> Preventive Measures During Investigation</w:t>
      </w:r>
    </w:p>
    <w:bookmarkEnd w:id="1"/>
    <w:p w14:paraId="1DB46536" w14:textId="77777777" w:rsidR="004778A5" w:rsidRPr="00B93195" w:rsidRDefault="006A1E68" w:rsidP="006A1E68">
      <w:pPr>
        <w:spacing w:before="100" w:beforeAutospacing="1" w:after="100" w:afterAutospacing="1" w:line="240" w:lineRule="auto"/>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While a case is under investigation, the organization shall implement preventive measures including:</w:t>
      </w:r>
      <w:r w:rsidR="004778A5" w:rsidRPr="00B93195">
        <w:rPr>
          <w:rFonts w:ascii="Gill Sans MT" w:eastAsia="Times New Roman" w:hAnsi="Gill Sans MT" w:cs="Times New Roman"/>
          <w:b/>
          <w:bCs/>
          <w:kern w:val="0"/>
          <w14:ligatures w14:val="none"/>
        </w:rPr>
        <w:t xml:space="preserve"> </w:t>
      </w:r>
    </w:p>
    <w:p w14:paraId="66EB790F" w14:textId="2C9B798C" w:rsidR="004778A5" w:rsidRPr="00B93195" w:rsidRDefault="006A1E68" w:rsidP="004778A5">
      <w:pPr>
        <w:pStyle w:val="ListParagraph"/>
        <w:numPr>
          <w:ilvl w:val="0"/>
          <w:numId w:val="25"/>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Refraining from any actions or communications that could be construed as aligning with or endorsing the entity under investigation </w:t>
      </w:r>
    </w:p>
    <w:p w14:paraId="721DB121" w14:textId="25CEC12D" w:rsidR="004778A5" w:rsidRPr="00B93195" w:rsidRDefault="006A1E68" w:rsidP="004778A5">
      <w:pPr>
        <w:pStyle w:val="ListParagraph"/>
        <w:numPr>
          <w:ilvl w:val="0"/>
          <w:numId w:val="25"/>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Requesting the entity or person involved to temporarily suspend relevant activities</w:t>
      </w:r>
    </w:p>
    <w:p w14:paraId="319F8FA1" w14:textId="6CC1787D" w:rsidR="006A1E68" w:rsidRPr="00B93195" w:rsidRDefault="006A1E68" w:rsidP="004778A5">
      <w:pPr>
        <w:pStyle w:val="ListParagraph"/>
        <w:numPr>
          <w:ilvl w:val="0"/>
          <w:numId w:val="25"/>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Warning relevant agencies, partners, or stakeholders of potential risks associated with engagement</w:t>
      </w:r>
    </w:p>
    <w:p w14:paraId="5155D9B3"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lastRenderedPageBreak/>
        <w:t>6. External Resolution</w:t>
      </w:r>
    </w:p>
    <w:p w14:paraId="658D7A12" w14:textId="77777777" w:rsidR="006A1E68" w:rsidRPr="00B93195" w:rsidRDefault="006A1E68" w:rsidP="0017393C">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For situations requiring independent assessment:</w:t>
      </w:r>
    </w:p>
    <w:p w14:paraId="7F9100C4" w14:textId="29A140DE" w:rsidR="006A1E68" w:rsidRPr="00B93195" w:rsidRDefault="006A1E68" w:rsidP="00D77D3A">
      <w:pPr>
        <w:pStyle w:val="ListParagraph"/>
        <w:numPr>
          <w:ilvl w:val="1"/>
          <w:numId w:val="28"/>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Submit the case to an independent review body when internal resolution is challenging</w:t>
      </w:r>
    </w:p>
    <w:p w14:paraId="78D7658C" w14:textId="7C3349AB" w:rsidR="006A1E68" w:rsidRPr="00B93195" w:rsidRDefault="006A1E68" w:rsidP="00D77D3A">
      <w:pPr>
        <w:pStyle w:val="ListParagraph"/>
        <w:numPr>
          <w:ilvl w:val="1"/>
          <w:numId w:val="28"/>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Provide all relevant documentation and context</w:t>
      </w:r>
    </w:p>
    <w:p w14:paraId="7A5F9FEC" w14:textId="22834A22" w:rsidR="006A1E68" w:rsidRPr="00B93195" w:rsidRDefault="006A1E68" w:rsidP="00D77D3A">
      <w:pPr>
        <w:pStyle w:val="ListParagraph"/>
        <w:numPr>
          <w:ilvl w:val="1"/>
          <w:numId w:val="28"/>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Implement recommendations from the independent assessment</w:t>
      </w:r>
    </w:p>
    <w:p w14:paraId="745E5317"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7. Policy Integration</w:t>
      </w:r>
    </w:p>
    <w:p w14:paraId="61A6A0D3" w14:textId="7AA6DA5A"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Th</w:t>
      </w:r>
      <w:r w:rsidR="004778A5" w:rsidRPr="00B93195">
        <w:rPr>
          <w:rFonts w:ascii="Gill Sans MT" w:eastAsia="Times New Roman" w:hAnsi="Gill Sans MT" w:cs="Times New Roman"/>
          <w:kern w:val="0"/>
          <w14:ligatures w14:val="none"/>
        </w:rPr>
        <w:t>ese policy provisions</w:t>
      </w:r>
      <w:r w:rsidRPr="00B93195">
        <w:rPr>
          <w:rFonts w:ascii="Gill Sans MT" w:eastAsia="Times New Roman" w:hAnsi="Gill Sans MT" w:cs="Times New Roman"/>
          <w:kern w:val="0"/>
          <w14:ligatures w14:val="none"/>
        </w:rPr>
        <w:t xml:space="preserve"> </w:t>
      </w:r>
      <w:r w:rsidR="0094357D" w:rsidRPr="00B93195">
        <w:rPr>
          <w:rFonts w:ascii="Gill Sans MT" w:eastAsia="Times New Roman" w:hAnsi="Gill Sans MT" w:cs="Times New Roman"/>
          <w:kern w:val="0"/>
          <w14:ligatures w14:val="none"/>
        </w:rPr>
        <w:t xml:space="preserve">or a version thereof </w:t>
      </w:r>
      <w:r w:rsidRPr="00B93195">
        <w:rPr>
          <w:rFonts w:ascii="Gill Sans MT" w:eastAsia="Times New Roman" w:hAnsi="Gill Sans MT" w:cs="Times New Roman"/>
          <w:kern w:val="0"/>
          <w14:ligatures w14:val="none"/>
        </w:rPr>
        <w:t>shall be:</w:t>
      </w:r>
    </w:p>
    <w:p w14:paraId="5074A813" w14:textId="0CAD7C38" w:rsidR="006A1E68" w:rsidRPr="00B93195" w:rsidRDefault="006A1E68" w:rsidP="0017393C">
      <w:pPr>
        <w:pStyle w:val="ListParagraph"/>
        <w:numPr>
          <w:ilvl w:val="1"/>
          <w:numId w:val="1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Incorporated into existing conflict of interest policies</w:t>
      </w:r>
    </w:p>
    <w:p w14:paraId="2660D08C" w14:textId="4C7DACDA" w:rsidR="006A1E68" w:rsidRPr="00B93195" w:rsidRDefault="006A1E68" w:rsidP="0017393C">
      <w:pPr>
        <w:pStyle w:val="ListParagraph"/>
        <w:numPr>
          <w:ilvl w:val="1"/>
          <w:numId w:val="1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Referenced in all partnership agreements</w:t>
      </w:r>
    </w:p>
    <w:p w14:paraId="6B2D570F" w14:textId="37E87512" w:rsidR="006A1E68" w:rsidRPr="00B93195" w:rsidRDefault="006A1E68" w:rsidP="0017393C">
      <w:pPr>
        <w:pStyle w:val="ListParagraph"/>
        <w:numPr>
          <w:ilvl w:val="1"/>
          <w:numId w:val="1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Included in onboarding materials for new staff and board members</w:t>
      </w:r>
    </w:p>
    <w:p w14:paraId="4571D03D" w14:textId="76DDBC9C" w:rsidR="006A1E68" w:rsidRPr="00B93195" w:rsidRDefault="006A1E68" w:rsidP="0017393C">
      <w:pPr>
        <w:pStyle w:val="ListParagraph"/>
        <w:numPr>
          <w:ilvl w:val="1"/>
          <w:numId w:val="10"/>
        </w:num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Reviewed annually to ensure alignment with evolving tobacco industry tactics</w:t>
      </w:r>
    </w:p>
    <w:p w14:paraId="3A4E7C51" w14:textId="6070B552"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b/>
          <w:bCs/>
          <w:kern w:val="0"/>
          <w14:ligatures w14:val="none"/>
        </w:rPr>
        <w:t>8. Non-Compliance</w:t>
      </w:r>
    </w:p>
    <w:p w14:paraId="70040631" w14:textId="734DD4AD" w:rsidR="006A1E68" w:rsidRPr="00B93195" w:rsidRDefault="00C20920" w:rsidP="00B93195">
      <w:pPr>
        <w:spacing w:beforeAutospacing="1" w:after="100" w:afterAutospacing="1" w:line="240" w:lineRule="auto"/>
        <w:rPr>
          <w:rFonts w:ascii="Gill Sans MT" w:eastAsia="Times New Roman" w:hAnsi="Gill Sans MT" w:cs="Times New Roman"/>
          <w:kern w:val="0"/>
          <w14:ligatures w14:val="none"/>
        </w:rPr>
      </w:pPr>
      <w:r w:rsidRPr="008C5082">
        <w:rPr>
          <w:rFonts w:ascii="Gill Sans MT" w:eastAsia="Times New Roman" w:hAnsi="Gill Sans MT" w:cs="Times New Roman"/>
          <w:kern w:val="0"/>
          <w14:ligatures w14:val="none"/>
        </w:rPr>
        <w:t>Non-compliance includes failure to adhere to disclosure, non-engagement, or conflict resolution requirements as defined in Sections 1 through 8.</w:t>
      </w:r>
      <w:r w:rsidR="00B93195" w:rsidRPr="008C5082">
        <w:rPr>
          <w:rFonts w:ascii="Gill Sans MT" w:eastAsia="Times New Roman" w:hAnsi="Gill Sans MT" w:cs="Times New Roman"/>
          <w:kern w:val="0"/>
          <w14:ligatures w14:val="none"/>
        </w:rPr>
        <w:t xml:space="preserve"> </w:t>
      </w:r>
      <w:r w:rsidR="00B93195" w:rsidRPr="00896A69">
        <w:rPr>
          <w:rFonts w:ascii="Gill Sans MT" w:eastAsia="Times New Roman" w:hAnsi="Gill Sans MT" w:cs="Times New Roman"/>
          <w:kern w:val="0"/>
          <w14:ligatures w14:val="none"/>
        </w:rPr>
        <w:t>It is also defined</w:t>
      </w:r>
      <w:r w:rsidR="006A1E68" w:rsidRPr="00896A69">
        <w:rPr>
          <w:rFonts w:ascii="Gill Sans MT" w:eastAsia="Times New Roman" w:hAnsi="Gill Sans MT" w:cs="Times New Roman"/>
          <w:kern w:val="0"/>
          <w14:ligatures w14:val="none"/>
        </w:rPr>
        <w:t xml:space="preserve"> as failing to abide by the key</w:t>
      </w:r>
      <w:r w:rsidR="006A1E68" w:rsidRPr="00B93195">
        <w:rPr>
          <w:rFonts w:ascii="Gill Sans MT" w:eastAsia="Times New Roman" w:hAnsi="Gill Sans MT" w:cs="Times New Roman"/>
          <w:kern w:val="0"/>
          <w14:ligatures w14:val="none"/>
        </w:rPr>
        <w:t xml:space="preserve"> provisions of this policy, including</w:t>
      </w:r>
      <w:r w:rsidR="004778A5" w:rsidRPr="00B93195">
        <w:rPr>
          <w:rFonts w:ascii="Gill Sans MT" w:eastAsia="Times New Roman" w:hAnsi="Gill Sans MT" w:cs="Times New Roman"/>
          <w:kern w:val="0"/>
          <w14:ligatures w14:val="none"/>
        </w:rPr>
        <w:t xml:space="preserve"> for instance</w:t>
      </w:r>
      <w:r w:rsidR="006A1E68" w:rsidRPr="00B93195">
        <w:rPr>
          <w:rFonts w:ascii="Gill Sans MT" w:eastAsia="Times New Roman" w:hAnsi="Gill Sans MT" w:cs="Times New Roman"/>
          <w:kern w:val="0"/>
          <w14:ligatures w14:val="none"/>
        </w:rPr>
        <w:t>:</w:t>
      </w:r>
      <w:r w:rsidR="004778A5" w:rsidRPr="00B93195">
        <w:rPr>
          <w:rFonts w:ascii="Gill Sans MT" w:eastAsia="Times New Roman" w:hAnsi="Gill Sans MT" w:cs="Times New Roman"/>
          <w:kern w:val="0"/>
          <w14:ligatures w14:val="none"/>
        </w:rPr>
        <w:t xml:space="preserve"> </w:t>
      </w:r>
      <w:r w:rsidR="006A1E68" w:rsidRPr="00B93195">
        <w:rPr>
          <w:rFonts w:ascii="Gill Sans MT" w:eastAsia="Times New Roman" w:hAnsi="Gill Sans MT" w:cs="Times New Roman"/>
          <w:kern w:val="0"/>
          <w14:ligatures w14:val="none"/>
        </w:rPr>
        <w:t>a) Failure to disclose any interests that exist</w:t>
      </w:r>
      <w:r w:rsidR="00767E5A" w:rsidRPr="00B93195">
        <w:rPr>
          <w:rFonts w:ascii="Gill Sans MT" w:eastAsia="Times New Roman" w:hAnsi="Gill Sans MT" w:cs="Times New Roman"/>
          <w:kern w:val="0"/>
          <w14:ligatures w14:val="none"/>
        </w:rPr>
        <w:t>;</w:t>
      </w:r>
      <w:r w:rsidR="006A1E68" w:rsidRPr="00B93195">
        <w:rPr>
          <w:rFonts w:ascii="Gill Sans MT" w:eastAsia="Times New Roman" w:hAnsi="Gill Sans MT" w:cs="Times New Roman"/>
          <w:kern w:val="0"/>
          <w14:ligatures w14:val="none"/>
        </w:rPr>
        <w:t xml:space="preserve"> b) Having interaction with the tobacco industry that is not strictly </w:t>
      </w:r>
      <w:r w:rsidR="00F34719" w:rsidRPr="00B93195">
        <w:rPr>
          <w:rFonts w:ascii="Gill Sans MT" w:eastAsia="Times New Roman" w:hAnsi="Gill Sans MT" w:cs="Times New Roman"/>
          <w:kern w:val="0"/>
          <w14:ligatures w14:val="none"/>
        </w:rPr>
        <w:t>necessary</w:t>
      </w:r>
      <w:r w:rsidR="0094357D" w:rsidRPr="00B93195">
        <w:rPr>
          <w:rFonts w:ascii="Gill Sans MT" w:eastAsia="Times New Roman" w:hAnsi="Gill Sans MT" w:cs="Times New Roman"/>
          <w:kern w:val="0"/>
          <w14:ligatures w14:val="none"/>
        </w:rPr>
        <w:t xml:space="preserve"> or not compliant with </w:t>
      </w:r>
      <w:r w:rsidR="0094357D" w:rsidRPr="00B93195">
        <w:rPr>
          <w:rFonts w:ascii="Gill Sans MT" w:eastAsia="Times New Roman" w:hAnsi="Gill Sans MT" w:cs="Times New Roman"/>
          <w:b/>
          <w:bCs/>
          <w:kern w:val="0"/>
          <w14:ligatures w14:val="none"/>
        </w:rPr>
        <w:t>non-engagement standards</w:t>
      </w:r>
      <w:r w:rsidR="003C46A0">
        <w:rPr>
          <w:rStyle w:val="FootnoteReference"/>
          <w:rFonts w:ascii="Gill Sans MT" w:eastAsia="Times New Roman" w:hAnsi="Gill Sans MT" w:cs="Times New Roman"/>
          <w:b/>
          <w:bCs/>
          <w:kern w:val="0"/>
          <w14:ligatures w14:val="none"/>
        </w:rPr>
        <w:footnoteReference w:id="2"/>
      </w:r>
      <w:r w:rsidR="00767E5A" w:rsidRPr="00B93195">
        <w:rPr>
          <w:rFonts w:ascii="Gill Sans MT" w:eastAsia="Times New Roman" w:hAnsi="Gill Sans MT" w:cs="Times New Roman"/>
          <w:kern w:val="0"/>
          <w14:ligatures w14:val="none"/>
        </w:rPr>
        <w:t>;</w:t>
      </w:r>
      <w:r w:rsidR="006A1E68" w:rsidRPr="00B93195">
        <w:rPr>
          <w:rFonts w:ascii="Gill Sans MT" w:eastAsia="Times New Roman" w:hAnsi="Gill Sans MT" w:cs="Times New Roman"/>
          <w:kern w:val="0"/>
          <w14:ligatures w14:val="none"/>
        </w:rPr>
        <w:t xml:space="preserve"> c) Creating or failing to prevent any actual, potential, or apparent conflict of interest from arising</w:t>
      </w:r>
      <w:r w:rsidR="003C46A0">
        <w:rPr>
          <w:rStyle w:val="FootnoteReference"/>
          <w:rFonts w:ascii="Gill Sans MT" w:eastAsia="Times New Roman" w:hAnsi="Gill Sans MT" w:cs="Times New Roman"/>
          <w:kern w:val="0"/>
          <w14:ligatures w14:val="none"/>
        </w:rPr>
        <w:footnoteReference w:id="3"/>
      </w:r>
      <w:r w:rsidR="00767E5A" w:rsidRPr="00B93195">
        <w:rPr>
          <w:rFonts w:ascii="Gill Sans MT" w:eastAsia="Times New Roman" w:hAnsi="Gill Sans MT" w:cs="Times New Roman"/>
          <w:kern w:val="0"/>
          <w14:ligatures w14:val="none"/>
        </w:rPr>
        <w:t>;</w:t>
      </w:r>
      <w:r w:rsidR="006A1E68" w:rsidRPr="00B93195">
        <w:rPr>
          <w:rFonts w:ascii="Gill Sans MT" w:eastAsia="Times New Roman" w:hAnsi="Gill Sans MT" w:cs="Times New Roman"/>
          <w:kern w:val="0"/>
          <w14:ligatures w14:val="none"/>
        </w:rPr>
        <w:t xml:space="preserve"> d) Accepting any contribution from the tobacco industry</w:t>
      </w:r>
      <w:r w:rsidR="003C46A0">
        <w:rPr>
          <w:rStyle w:val="FootnoteReference"/>
          <w:rFonts w:ascii="Gill Sans MT" w:eastAsia="Times New Roman" w:hAnsi="Gill Sans MT" w:cs="Times New Roman"/>
          <w:kern w:val="0"/>
          <w14:ligatures w14:val="none"/>
        </w:rPr>
        <w:footnoteReference w:id="4"/>
      </w:r>
    </w:p>
    <w:p w14:paraId="656E6CAD" w14:textId="1C67B938"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Individuals who demonstrate recurrent misconduct or non-compliance shall be permanently excluded from the organization regardless of any corrective measures they may propose.</w:t>
      </w:r>
      <w:r w:rsidR="004778A5" w:rsidRPr="00B93195">
        <w:rPr>
          <w:rFonts w:ascii="Gill Sans MT" w:eastAsia="Times New Roman" w:hAnsi="Gill Sans MT" w:cs="Times New Roman"/>
          <w:kern w:val="0"/>
          <w14:ligatures w14:val="none"/>
        </w:rPr>
        <w:t xml:space="preserve"> </w:t>
      </w:r>
    </w:p>
    <w:p w14:paraId="7BE2FED8" w14:textId="0AC37A33" w:rsidR="004778A5" w:rsidRDefault="004778A5"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 xml:space="preserve">The </w:t>
      </w:r>
      <w:r w:rsidR="00297DC0" w:rsidRPr="00297DC0">
        <w:rPr>
          <w:rFonts w:ascii="Gill Sans MT" w:eastAsia="Times New Roman" w:hAnsi="Gill Sans MT" w:cs="Times New Roman"/>
          <w:kern w:val="0"/>
          <w:u w:val="single"/>
          <w14:ligatures w14:val="none"/>
        </w:rPr>
        <w:t>Framework for Sanctions and Corrective Actions in Cases of Conflict of Interest</w:t>
      </w:r>
      <w:r w:rsidR="00297DC0" w:rsidRPr="00297DC0">
        <w:rPr>
          <w:rFonts w:ascii="Gill Sans MT" w:eastAsia="Times New Roman" w:hAnsi="Gill Sans MT" w:cs="Times New Roman"/>
          <w:kern w:val="0"/>
          <w14:ligatures w14:val="none"/>
        </w:rPr>
        <w:t xml:space="preserve"> </w:t>
      </w:r>
      <w:r w:rsidRPr="00B93195">
        <w:rPr>
          <w:rFonts w:ascii="Gill Sans MT" w:eastAsia="Times New Roman" w:hAnsi="Gill Sans MT" w:cs="Times New Roman"/>
          <w:kern w:val="0"/>
          <w14:ligatures w14:val="none"/>
        </w:rPr>
        <w:t>will be referred to as guidance on assessing the severity of the case and the sanctions involved.</w:t>
      </w:r>
    </w:p>
    <w:p w14:paraId="7502A79D" w14:textId="77777777" w:rsidR="003C46A0" w:rsidRPr="00B93195" w:rsidRDefault="003C46A0" w:rsidP="006A1E68">
      <w:pPr>
        <w:spacing w:before="100" w:beforeAutospacing="1" w:after="100" w:afterAutospacing="1" w:line="240" w:lineRule="auto"/>
        <w:rPr>
          <w:rFonts w:ascii="Gill Sans MT" w:eastAsia="Times New Roman" w:hAnsi="Gill Sans MT" w:cs="Times New Roman"/>
          <w:kern w:val="0"/>
          <w14:ligatures w14:val="none"/>
        </w:rPr>
      </w:pPr>
    </w:p>
    <w:p w14:paraId="584C11D2" w14:textId="168EA932" w:rsidR="006A1E68" w:rsidRPr="00B93195" w:rsidRDefault="006A1E68" w:rsidP="006A1E68">
      <w:pPr>
        <w:spacing w:before="100" w:beforeAutospacing="1" w:after="100" w:afterAutospacing="1" w:line="240" w:lineRule="auto"/>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lastRenderedPageBreak/>
        <w:t>9. Transparency</w:t>
      </w:r>
    </w:p>
    <w:p w14:paraId="7954917B" w14:textId="12F00794"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Transparency shall serve as the paramount principle underlying all remedial or punitive measures concerning non-compliance. All findings and outcomes of investigations should be transparently communicated to appropriate stakeholders, ensuring legal compliance with privacy regulations while maximizing public awareness of tobacco industry interference tactics.</w:t>
      </w:r>
    </w:p>
    <w:p w14:paraId="3C5E26FA" w14:textId="77777777" w:rsidR="006A1E68" w:rsidRPr="00B93195" w:rsidRDefault="006A1E68" w:rsidP="006A1E68">
      <w:pPr>
        <w:spacing w:before="100" w:beforeAutospacing="1" w:after="100" w:afterAutospacing="1" w:line="240" w:lineRule="auto"/>
        <w:outlineLvl w:val="1"/>
        <w:rPr>
          <w:rFonts w:ascii="Gill Sans MT" w:eastAsia="Times New Roman" w:hAnsi="Gill Sans MT" w:cs="Times New Roman"/>
          <w:b/>
          <w:bCs/>
          <w:kern w:val="0"/>
          <w14:ligatures w14:val="none"/>
        </w:rPr>
      </w:pPr>
      <w:r w:rsidRPr="00B93195">
        <w:rPr>
          <w:rFonts w:ascii="Gill Sans MT" w:eastAsia="Times New Roman" w:hAnsi="Gill Sans MT" w:cs="Times New Roman"/>
          <w:b/>
          <w:bCs/>
          <w:kern w:val="0"/>
          <w14:ligatures w14:val="none"/>
        </w:rPr>
        <w:t>Adoption</w:t>
      </w:r>
    </w:p>
    <w:p w14:paraId="030A1213" w14:textId="77777777"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Adopted by: _________________________ [Organization]</w:t>
      </w:r>
    </w:p>
    <w:p w14:paraId="346420CB" w14:textId="77777777"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Date: _______________</w:t>
      </w:r>
    </w:p>
    <w:p w14:paraId="004AE6F1" w14:textId="77777777"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Signature: _________________________ [Authorized Representative]</w:t>
      </w:r>
    </w:p>
    <w:p w14:paraId="75133C8B" w14:textId="77777777" w:rsidR="00EF1164" w:rsidRPr="00B93195" w:rsidRDefault="00EF1164" w:rsidP="006A1E68">
      <w:pPr>
        <w:spacing w:after="0" w:line="240" w:lineRule="auto"/>
        <w:rPr>
          <w:rFonts w:ascii="Gill Sans MT" w:eastAsia="Times New Roman" w:hAnsi="Gill Sans MT" w:cs="Times New Roman"/>
          <w:kern w:val="0"/>
          <w14:ligatures w14:val="none"/>
        </w:rPr>
      </w:pPr>
    </w:p>
    <w:p w14:paraId="6091B64A" w14:textId="77777777" w:rsidR="00EF1164" w:rsidRPr="00B93195" w:rsidRDefault="00EF1164" w:rsidP="006A1E68">
      <w:pPr>
        <w:spacing w:after="0" w:line="240" w:lineRule="auto"/>
        <w:rPr>
          <w:rFonts w:ascii="Gill Sans MT" w:eastAsia="Times New Roman" w:hAnsi="Gill Sans MT" w:cs="Times New Roman"/>
          <w:kern w:val="0"/>
          <w14:ligatures w14:val="none"/>
        </w:rPr>
      </w:pPr>
    </w:p>
    <w:p w14:paraId="310F9792" w14:textId="77777777" w:rsidR="00EF1164" w:rsidRPr="00B93195" w:rsidRDefault="00EF1164" w:rsidP="006A1E68">
      <w:pPr>
        <w:spacing w:after="0" w:line="240" w:lineRule="auto"/>
        <w:rPr>
          <w:rFonts w:ascii="Gill Sans MT" w:eastAsia="Times New Roman" w:hAnsi="Gill Sans MT" w:cs="Times New Roman"/>
          <w:kern w:val="0"/>
          <w14:ligatures w14:val="none"/>
        </w:rPr>
      </w:pPr>
    </w:p>
    <w:p w14:paraId="4AD69BD0" w14:textId="3D2FC787" w:rsidR="00EF1164" w:rsidRPr="00B93195" w:rsidRDefault="00EF1164" w:rsidP="00EF1164">
      <w:pPr>
        <w:pBdr>
          <w:top w:val="single" w:sz="4" w:space="1" w:color="auto"/>
          <w:left w:val="single" w:sz="4" w:space="4" w:color="auto"/>
          <w:bottom w:val="single" w:sz="4" w:space="1" w:color="auto"/>
          <w:right w:val="single" w:sz="4" w:space="4" w:color="auto"/>
        </w:pBdr>
        <w:spacing w:after="0"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b/>
          <w:bCs/>
          <w:kern w:val="0"/>
          <w14:ligatures w14:val="none"/>
        </w:rPr>
        <w:t>Disclaimer:</w:t>
      </w:r>
      <w:r w:rsidRPr="00B93195">
        <w:rPr>
          <w:rFonts w:ascii="Gill Sans MT" w:eastAsia="Times New Roman" w:hAnsi="Gill Sans MT" w:cs="Times New Roman"/>
          <w:kern w:val="0"/>
          <w14:ligatures w14:val="none"/>
        </w:rPr>
        <w:t xml:space="preserve"> This represents minimum standards only. Organizations should adapt and strengthen these materials to address their specific context and evolving industry tactics, provided all modifications enhance protection against tobacco industry interference.</w:t>
      </w:r>
    </w:p>
    <w:p w14:paraId="5AE94389" w14:textId="77777777" w:rsidR="00EF1164" w:rsidRPr="00B93195" w:rsidRDefault="00EF1164" w:rsidP="00EF1164">
      <w:pPr>
        <w:pBdr>
          <w:top w:val="single" w:sz="4" w:space="1" w:color="auto"/>
          <w:left w:val="single" w:sz="4" w:space="4" w:color="auto"/>
          <w:bottom w:val="single" w:sz="4" w:space="1" w:color="auto"/>
          <w:right w:val="single" w:sz="4" w:space="4" w:color="auto"/>
        </w:pBdr>
        <w:spacing w:after="0" w:line="240" w:lineRule="auto"/>
        <w:rPr>
          <w:rFonts w:ascii="Gill Sans MT" w:eastAsia="Times New Roman" w:hAnsi="Gill Sans MT" w:cs="Times New Roman"/>
          <w:kern w:val="0"/>
          <w14:ligatures w14:val="none"/>
        </w:rPr>
      </w:pPr>
    </w:p>
    <w:p w14:paraId="025127E5" w14:textId="77777777" w:rsidR="00B93195" w:rsidRPr="00B93195" w:rsidRDefault="00B93195" w:rsidP="006A1E68">
      <w:pPr>
        <w:spacing w:after="0" w:line="240" w:lineRule="auto"/>
        <w:rPr>
          <w:rFonts w:ascii="Gill Sans MT" w:hAnsi="Gill Sans MT"/>
        </w:rPr>
      </w:pPr>
    </w:p>
    <w:p w14:paraId="44C6DF3D" w14:textId="77777777" w:rsidR="00EF1164" w:rsidRPr="00B93195" w:rsidRDefault="00EF1164" w:rsidP="006A1E68">
      <w:pPr>
        <w:spacing w:after="0" w:line="240" w:lineRule="auto"/>
        <w:rPr>
          <w:rFonts w:ascii="Gill Sans MT" w:eastAsia="Times New Roman" w:hAnsi="Gill Sans MT" w:cs="Times New Roman"/>
          <w:kern w:val="0"/>
          <w14:ligatures w14:val="none"/>
        </w:rPr>
      </w:pPr>
    </w:p>
    <w:p w14:paraId="6BA5763A" w14:textId="4705915E" w:rsidR="00EF1164" w:rsidRPr="00B93195" w:rsidRDefault="00EF1164" w:rsidP="006A1E68">
      <w:pPr>
        <w:spacing w:after="0" w:line="240" w:lineRule="auto"/>
        <w:rPr>
          <w:rFonts w:ascii="Gill Sans MT" w:eastAsia="Times New Roman" w:hAnsi="Gill Sans MT" w:cs="Times New Roman"/>
          <w:kern w:val="0"/>
          <w14:ligatures w14:val="none"/>
        </w:rPr>
      </w:pPr>
    </w:p>
    <w:p w14:paraId="548A51D7" w14:textId="45B58336" w:rsidR="006A1E68" w:rsidRPr="00B93195" w:rsidRDefault="00000000" w:rsidP="006A1E68">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7304F3AA">
          <v:rect id="_x0000_i1025" alt="" style="width:468pt;height:.05pt;mso-width-percent:0;mso-height-percent:0;mso-width-percent:0;mso-height-percent:0" o:hralign="center" o:hrstd="t" o:hr="t" fillcolor="#a0a0a0" stroked="f"/>
        </w:pict>
      </w:r>
    </w:p>
    <w:p w14:paraId="597277FA" w14:textId="2661D021" w:rsidR="006A1E68"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[1]: World Health Organization. (2008). Guidelines for implementation of Article 5.3 of the WHO Framework Convention on Tobacco Control.</w:t>
      </w:r>
    </w:p>
    <w:p w14:paraId="04B84E04" w14:textId="4303C63C" w:rsidR="00B4313B" w:rsidRPr="00B93195" w:rsidRDefault="00B4313B" w:rsidP="006A1E68">
      <w:pPr>
        <w:spacing w:before="100" w:beforeAutospacing="1" w:after="100" w:afterAutospacing="1" w:line="240" w:lineRule="auto"/>
        <w:rPr>
          <w:rFonts w:ascii="Gill Sans MT" w:eastAsia="Times New Roman" w:hAnsi="Gill Sans MT" w:cs="Times New Roman"/>
          <w:kern w:val="0"/>
          <w14:ligatures w14:val="none"/>
        </w:rPr>
      </w:pPr>
      <w:r>
        <w:rPr>
          <w:rFonts w:ascii="Gill Sans MT" w:eastAsia="Times New Roman" w:hAnsi="Gill Sans MT" w:cs="Times New Roman"/>
          <w:kern w:val="0"/>
          <w14:ligatures w14:val="none"/>
        </w:rPr>
        <w:t xml:space="preserve">[2]: </w:t>
      </w:r>
      <w:r w:rsidRPr="00B4313B">
        <w:rPr>
          <w:rFonts w:ascii="Gill Sans MT" w:eastAsia="Times New Roman" w:hAnsi="Gill Sans MT" w:cs="Times New Roman"/>
          <w:kern w:val="0"/>
          <w14:ligatures w14:val="none"/>
        </w:rPr>
        <w:t xml:space="preserve">Preventing tobacco Industry Interference. A Toolkit for Advocates and Policymakers. GGTC. 2023. Available at: </w:t>
      </w:r>
      <w:hyperlink r:id="rId9" w:history="1">
        <w:r w:rsidRPr="00E92326">
          <w:rPr>
            <w:rStyle w:val="Hyperlink"/>
            <w:rFonts w:ascii="Gill Sans MT" w:eastAsia="Times New Roman" w:hAnsi="Gill Sans MT" w:cs="Times New Roman"/>
            <w:kern w:val="0"/>
            <w14:ligatures w14:val="none"/>
          </w:rPr>
          <w:t>https://files.ggtc.world/uploads/2024-02-01/03-07-53-470050/GGTC%20Toolkit%20(Redesign)%20171123.pdf</w:t>
        </w:r>
      </w:hyperlink>
      <w:r>
        <w:rPr>
          <w:rFonts w:ascii="Gill Sans MT" w:eastAsia="Times New Roman" w:hAnsi="Gill Sans MT" w:cs="Times New Roman"/>
          <w:kern w:val="0"/>
          <w14:ligatures w14:val="none"/>
        </w:rPr>
        <w:t xml:space="preserve"> </w:t>
      </w:r>
    </w:p>
    <w:p w14:paraId="17719601" w14:textId="09CEA51F"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w:t>
      </w:r>
      <w:r w:rsidR="00B4313B">
        <w:rPr>
          <w:rFonts w:ascii="Gill Sans MT" w:eastAsia="Times New Roman" w:hAnsi="Gill Sans MT" w:cs="Times New Roman"/>
          <w:kern w:val="0"/>
          <w14:ligatures w14:val="none"/>
        </w:rPr>
        <w:t>3</w:t>
      </w:r>
      <w:r w:rsidRPr="00B93195">
        <w:rPr>
          <w:rFonts w:ascii="Gill Sans MT" w:eastAsia="Times New Roman" w:hAnsi="Gill Sans MT" w:cs="Times New Roman"/>
          <w:kern w:val="0"/>
          <w14:ligatures w14:val="none"/>
        </w:rPr>
        <w:t>]: Smith, K. E., Savell, E., &amp; Gilmore, A. B. (2013). What is known about tobacco industry efforts to influence tobacco tax? A systematic review of empirical studies. Tobacco Control, 22(2), 144-153.</w:t>
      </w:r>
    </w:p>
    <w:p w14:paraId="7B945237" w14:textId="57A15A85"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w:t>
      </w:r>
      <w:r w:rsidR="00B4313B">
        <w:rPr>
          <w:rFonts w:ascii="Gill Sans MT" w:eastAsia="Times New Roman" w:hAnsi="Gill Sans MT" w:cs="Times New Roman"/>
          <w:kern w:val="0"/>
          <w14:ligatures w14:val="none"/>
        </w:rPr>
        <w:t>4</w:t>
      </w:r>
      <w:r w:rsidRPr="00B93195">
        <w:rPr>
          <w:rFonts w:ascii="Gill Sans MT" w:eastAsia="Times New Roman" w:hAnsi="Gill Sans MT" w:cs="Times New Roman"/>
          <w:kern w:val="0"/>
          <w14:ligatures w14:val="none"/>
        </w:rPr>
        <w:t xml:space="preserve">]: Cohen, J. E., Zeller, M., </w:t>
      </w:r>
      <w:proofErr w:type="spellStart"/>
      <w:r w:rsidRPr="00B93195">
        <w:rPr>
          <w:rFonts w:ascii="Gill Sans MT" w:eastAsia="Times New Roman" w:hAnsi="Gill Sans MT" w:cs="Times New Roman"/>
          <w:kern w:val="0"/>
          <w14:ligatures w14:val="none"/>
        </w:rPr>
        <w:t>Eissenberg</w:t>
      </w:r>
      <w:proofErr w:type="spellEnd"/>
      <w:r w:rsidRPr="00B93195">
        <w:rPr>
          <w:rFonts w:ascii="Gill Sans MT" w:eastAsia="Times New Roman" w:hAnsi="Gill Sans MT" w:cs="Times New Roman"/>
          <w:kern w:val="0"/>
          <w14:ligatures w14:val="none"/>
        </w:rPr>
        <w:t>, T., et al. (2021). Criteria for evaluating tobacco control research funding programs and their application to models that include financial support from the tobacco industry. Tobacco Control, 30(3), 337-344.</w:t>
      </w:r>
    </w:p>
    <w:p w14:paraId="04230E7B" w14:textId="641A8C5C"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w:t>
      </w:r>
      <w:r w:rsidR="00B4313B">
        <w:rPr>
          <w:rFonts w:ascii="Gill Sans MT" w:eastAsia="Times New Roman" w:hAnsi="Gill Sans MT" w:cs="Times New Roman"/>
          <w:kern w:val="0"/>
          <w14:ligatures w14:val="none"/>
        </w:rPr>
        <w:t>5</w:t>
      </w:r>
      <w:r w:rsidRPr="00B93195">
        <w:rPr>
          <w:rFonts w:ascii="Gill Sans MT" w:eastAsia="Times New Roman" w:hAnsi="Gill Sans MT" w:cs="Times New Roman"/>
          <w:kern w:val="0"/>
          <w14:ligatures w14:val="none"/>
        </w:rPr>
        <w:t xml:space="preserve">]: Tobacco Tactics. (2021). Foundation for a Smoke-Free World. University of Bath. </w:t>
      </w:r>
      <w:hyperlink r:id="rId10" w:history="1">
        <w:r w:rsidR="00697595" w:rsidRPr="00B93195">
          <w:rPr>
            <w:rStyle w:val="Hyperlink"/>
            <w:rFonts w:ascii="Gill Sans MT" w:eastAsia="Times New Roman" w:hAnsi="Gill Sans MT" w:cs="Times New Roman"/>
            <w:kern w:val="0"/>
            <w14:ligatures w14:val="none"/>
          </w:rPr>
          <w:t>https://tobaccotactics.org/wiki/foundation-for-a-smoke-free-world/</w:t>
        </w:r>
      </w:hyperlink>
      <w:r w:rsidR="00697595" w:rsidRPr="00B93195">
        <w:rPr>
          <w:rFonts w:ascii="Gill Sans MT" w:eastAsia="Times New Roman" w:hAnsi="Gill Sans MT" w:cs="Times New Roman"/>
          <w:kern w:val="0"/>
          <w14:ligatures w14:val="none"/>
        </w:rPr>
        <w:t xml:space="preserve"> </w:t>
      </w:r>
    </w:p>
    <w:p w14:paraId="4FEF39F5" w14:textId="6987A2C6"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lastRenderedPageBreak/>
        <w:t>[</w:t>
      </w:r>
      <w:r w:rsidR="00B4313B">
        <w:rPr>
          <w:rFonts w:ascii="Gill Sans MT" w:eastAsia="Times New Roman" w:hAnsi="Gill Sans MT" w:cs="Times New Roman"/>
          <w:kern w:val="0"/>
          <w14:ligatures w14:val="none"/>
        </w:rPr>
        <w:t>6</w:t>
      </w:r>
      <w:r w:rsidRPr="00B93195">
        <w:rPr>
          <w:rFonts w:ascii="Gill Sans MT" w:eastAsia="Times New Roman" w:hAnsi="Gill Sans MT" w:cs="Times New Roman"/>
          <w:kern w:val="0"/>
          <w14:ligatures w14:val="none"/>
        </w:rPr>
        <w:t xml:space="preserve">]: Fooks, G. J., Gilmore, A. B., Smith, K. E., Collin, J., Holden, C., &amp; Lee, K. (2011). Corporate social responsibility and access to policy élites: an analysis of tobacco industry documents. </w:t>
      </w:r>
      <w:proofErr w:type="spellStart"/>
      <w:r w:rsidRPr="00B93195">
        <w:rPr>
          <w:rFonts w:ascii="Gill Sans MT" w:eastAsia="Times New Roman" w:hAnsi="Gill Sans MT" w:cs="Times New Roman"/>
          <w:kern w:val="0"/>
          <w14:ligatures w14:val="none"/>
        </w:rPr>
        <w:t>PLoS</w:t>
      </w:r>
      <w:proofErr w:type="spellEnd"/>
      <w:r w:rsidRPr="00B93195">
        <w:rPr>
          <w:rFonts w:ascii="Gill Sans MT" w:eastAsia="Times New Roman" w:hAnsi="Gill Sans MT" w:cs="Times New Roman"/>
          <w:kern w:val="0"/>
          <w14:ligatures w14:val="none"/>
        </w:rPr>
        <w:t xml:space="preserve"> Medicine, 8(8), e1001076.</w:t>
      </w:r>
    </w:p>
    <w:p w14:paraId="278F4B77" w14:textId="137C81B7"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w:t>
      </w:r>
      <w:r w:rsidR="00B4313B">
        <w:rPr>
          <w:rFonts w:ascii="Gill Sans MT" w:eastAsia="Times New Roman" w:hAnsi="Gill Sans MT" w:cs="Times New Roman"/>
          <w:kern w:val="0"/>
          <w14:ligatures w14:val="none"/>
        </w:rPr>
        <w:t>7</w:t>
      </w:r>
      <w:r w:rsidRPr="00B93195">
        <w:rPr>
          <w:rFonts w:ascii="Gill Sans MT" w:eastAsia="Times New Roman" w:hAnsi="Gill Sans MT" w:cs="Times New Roman"/>
          <w:kern w:val="0"/>
          <w14:ligatures w14:val="none"/>
        </w:rPr>
        <w:t xml:space="preserve">]: Tobacco Control Research Group. (2022). Philip Morris International's Smoke-Free World Campaign. University of Bath. </w:t>
      </w:r>
      <w:hyperlink r:id="rId11" w:history="1">
        <w:r w:rsidR="00697595" w:rsidRPr="00B93195">
          <w:rPr>
            <w:rStyle w:val="Hyperlink"/>
            <w:rFonts w:ascii="Gill Sans MT" w:eastAsia="Times New Roman" w:hAnsi="Gill Sans MT" w:cs="Times New Roman"/>
            <w:kern w:val="0"/>
            <w14:ligatures w14:val="none"/>
          </w:rPr>
          <w:t>https://tobaccotactics.org/wiki/philip-morris-internationals-smoke-free-world-campaign/</w:t>
        </w:r>
      </w:hyperlink>
      <w:r w:rsidR="00697595" w:rsidRPr="00B93195">
        <w:rPr>
          <w:rFonts w:ascii="Gill Sans MT" w:eastAsia="Times New Roman" w:hAnsi="Gill Sans MT" w:cs="Times New Roman"/>
          <w:kern w:val="0"/>
          <w14:ligatures w14:val="none"/>
        </w:rPr>
        <w:t xml:space="preserve"> </w:t>
      </w:r>
    </w:p>
    <w:p w14:paraId="3F4ED771" w14:textId="2A88FFA8" w:rsidR="006A1E68" w:rsidRPr="00B93195" w:rsidRDefault="006A1E68" w:rsidP="006A1E68">
      <w:pPr>
        <w:spacing w:before="100" w:beforeAutospacing="1" w:after="100" w:afterAutospacing="1" w:line="240" w:lineRule="auto"/>
        <w:rPr>
          <w:rFonts w:ascii="Gill Sans MT" w:eastAsia="Times New Roman" w:hAnsi="Gill Sans MT" w:cs="Times New Roman"/>
          <w:kern w:val="0"/>
          <w14:ligatures w14:val="none"/>
        </w:rPr>
      </w:pPr>
      <w:r w:rsidRPr="00B93195">
        <w:rPr>
          <w:rFonts w:ascii="Gill Sans MT" w:eastAsia="Times New Roman" w:hAnsi="Gill Sans MT" w:cs="Times New Roman"/>
          <w:kern w:val="0"/>
          <w14:ligatures w14:val="none"/>
        </w:rPr>
        <w:t>[</w:t>
      </w:r>
      <w:r w:rsidR="00B4313B">
        <w:rPr>
          <w:rFonts w:ascii="Gill Sans MT" w:eastAsia="Times New Roman" w:hAnsi="Gill Sans MT" w:cs="Times New Roman"/>
          <w:kern w:val="0"/>
          <w14:ligatures w14:val="none"/>
        </w:rPr>
        <w:t>8</w:t>
      </w:r>
      <w:r w:rsidRPr="00B93195">
        <w:rPr>
          <w:rFonts w:ascii="Gill Sans MT" w:eastAsia="Times New Roman" w:hAnsi="Gill Sans MT" w:cs="Times New Roman"/>
          <w:kern w:val="0"/>
          <w14:ligatures w14:val="none"/>
        </w:rPr>
        <w:t>]: World Health Organization. (2012). Tobacco industry interference with tobacco control. Geneva: World Health Organization.</w:t>
      </w:r>
    </w:p>
    <w:p w14:paraId="581FAC4C" w14:textId="5509941C" w:rsidR="00E27AF6" w:rsidRPr="00824AF1" w:rsidRDefault="00E27AF6" w:rsidP="003C46A0">
      <w:pPr>
        <w:spacing w:before="100" w:beforeAutospacing="1" w:after="100" w:afterAutospacing="1" w:line="240" w:lineRule="auto"/>
        <w:rPr>
          <w:rFonts w:ascii="Gill Sans MT" w:eastAsia="Times New Roman" w:hAnsi="Gill Sans MT" w:cs="Times New Roman"/>
          <w:kern w:val="0"/>
          <w:highlight w:val="cyan"/>
          <w:lang w:val="en-IN"/>
          <w14:ligatures w14:val="none"/>
        </w:rPr>
      </w:pPr>
    </w:p>
    <w:p w14:paraId="0DFF7444" w14:textId="5221CCEE" w:rsidR="0094357D" w:rsidRPr="00824AF1" w:rsidRDefault="0094357D" w:rsidP="00697595">
      <w:pPr>
        <w:spacing w:before="100" w:beforeAutospacing="1" w:after="100" w:afterAutospacing="1" w:line="240" w:lineRule="auto"/>
        <w:rPr>
          <w:rFonts w:ascii="Gill Sans MT" w:eastAsia="Times New Roman" w:hAnsi="Gill Sans MT" w:cs="Times New Roman"/>
          <w:kern w:val="0"/>
          <w:highlight w:val="cyan"/>
          <w14:ligatures w14:val="none"/>
        </w:rPr>
      </w:pPr>
    </w:p>
    <w:p w14:paraId="73D1382B" w14:textId="7828DFB2" w:rsidR="00767E5A" w:rsidRPr="00B93195" w:rsidRDefault="00767E5A" w:rsidP="006A1E68">
      <w:pPr>
        <w:spacing w:before="100" w:beforeAutospacing="1" w:after="100" w:afterAutospacing="1" w:line="240" w:lineRule="auto"/>
        <w:rPr>
          <w:rFonts w:ascii="Gill Sans MT" w:eastAsia="Times New Roman" w:hAnsi="Gill Sans MT" w:cs="Times New Roman"/>
          <w:kern w:val="0"/>
          <w14:ligatures w14:val="none"/>
        </w:rPr>
      </w:pPr>
    </w:p>
    <w:p w14:paraId="4D8A35C6" w14:textId="77777777" w:rsidR="006A1E68" w:rsidRPr="00B93195" w:rsidRDefault="006A1E68">
      <w:pPr>
        <w:rPr>
          <w:rFonts w:ascii="Gill Sans MT" w:hAnsi="Gill Sans MT" w:cs="Times New Roman"/>
        </w:rPr>
      </w:pPr>
    </w:p>
    <w:sectPr w:rsidR="006A1E68" w:rsidRPr="00B93195">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AB5E1" w14:textId="77777777" w:rsidR="005604F3" w:rsidRDefault="005604F3" w:rsidP="004778A5">
      <w:pPr>
        <w:spacing w:after="0" w:line="240" w:lineRule="auto"/>
      </w:pPr>
      <w:r>
        <w:separator/>
      </w:r>
    </w:p>
  </w:endnote>
  <w:endnote w:type="continuationSeparator" w:id="0">
    <w:p w14:paraId="3A6107D1" w14:textId="77777777" w:rsidR="005604F3" w:rsidRDefault="005604F3" w:rsidP="00477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84B34" w14:textId="77777777" w:rsidR="005604F3" w:rsidRDefault="005604F3" w:rsidP="004778A5">
      <w:pPr>
        <w:spacing w:after="0" w:line="240" w:lineRule="auto"/>
      </w:pPr>
      <w:r>
        <w:separator/>
      </w:r>
    </w:p>
  </w:footnote>
  <w:footnote w:type="continuationSeparator" w:id="0">
    <w:p w14:paraId="5463AAAF" w14:textId="77777777" w:rsidR="005604F3" w:rsidRDefault="005604F3" w:rsidP="004778A5">
      <w:pPr>
        <w:spacing w:after="0" w:line="240" w:lineRule="auto"/>
      </w:pPr>
      <w:r>
        <w:continuationSeparator/>
      </w:r>
    </w:p>
  </w:footnote>
  <w:footnote w:id="1">
    <w:p w14:paraId="67D99E42" w14:textId="77777777" w:rsidR="00C20920" w:rsidRPr="00297DC0" w:rsidRDefault="00C20920" w:rsidP="00C20920">
      <w:pPr>
        <w:pStyle w:val="FootnoteText"/>
        <w:rPr>
          <w:rFonts w:ascii="Gill Sans MT" w:hAnsi="Gill Sans MT"/>
        </w:rPr>
      </w:pPr>
      <w:r w:rsidRPr="008C5082">
        <w:rPr>
          <w:rStyle w:val="FootnoteReference"/>
        </w:rPr>
        <w:footnoteRef/>
      </w:r>
      <w:r w:rsidRPr="008C5082">
        <w:t xml:space="preserve"> </w:t>
      </w:r>
      <w:r w:rsidRPr="008C5082">
        <w:rPr>
          <w:rFonts w:ascii="Gill Sans MT" w:hAnsi="Gill Sans MT"/>
        </w:rPr>
        <w:t>This includes, but is not limited to:</w:t>
      </w:r>
    </w:p>
    <w:p w14:paraId="22993C2B" w14:textId="77777777" w:rsidR="00C20920" w:rsidRPr="00297DC0" w:rsidRDefault="00C20920" w:rsidP="00C20920">
      <w:pPr>
        <w:pStyle w:val="FootnoteText"/>
        <w:numPr>
          <w:ilvl w:val="0"/>
          <w:numId w:val="26"/>
        </w:numPr>
        <w:rPr>
          <w:rFonts w:ascii="Gill Sans MT" w:hAnsi="Gill Sans MT"/>
        </w:rPr>
      </w:pPr>
      <w:r w:rsidRPr="00297DC0">
        <w:rPr>
          <w:rFonts w:ascii="Gill Sans MT" w:hAnsi="Gill Sans MT"/>
        </w:rPr>
        <w:t>Financial or material benefits (such as funding, gifts, grants, or investments)</w:t>
      </w:r>
    </w:p>
    <w:p w14:paraId="6BA61090" w14:textId="77777777" w:rsidR="00C20920" w:rsidRPr="00297DC0" w:rsidRDefault="00C20920" w:rsidP="00C20920">
      <w:pPr>
        <w:pStyle w:val="FootnoteText"/>
        <w:numPr>
          <w:ilvl w:val="0"/>
          <w:numId w:val="26"/>
        </w:numPr>
        <w:rPr>
          <w:rFonts w:ascii="Gill Sans MT" w:hAnsi="Gill Sans MT"/>
        </w:rPr>
      </w:pPr>
      <w:r w:rsidRPr="00297DC0">
        <w:rPr>
          <w:rFonts w:ascii="Gill Sans MT" w:hAnsi="Gill Sans MT"/>
        </w:rPr>
        <w:t>Current or past employment, consultancies, or advisory roles</w:t>
      </w:r>
    </w:p>
    <w:p w14:paraId="5CD66770" w14:textId="77777777" w:rsidR="00C20920" w:rsidRPr="00297DC0" w:rsidRDefault="00C20920" w:rsidP="00C20920">
      <w:pPr>
        <w:pStyle w:val="FootnoteText"/>
        <w:numPr>
          <w:ilvl w:val="0"/>
          <w:numId w:val="26"/>
        </w:numPr>
        <w:rPr>
          <w:rFonts w:ascii="Gill Sans MT" w:hAnsi="Gill Sans MT"/>
        </w:rPr>
      </w:pPr>
      <w:r w:rsidRPr="00297DC0">
        <w:rPr>
          <w:rFonts w:ascii="Gill Sans MT" w:hAnsi="Gill Sans MT"/>
        </w:rPr>
        <w:t>Close personal or familial relationships with individuals connected to tobacco industry entities</w:t>
      </w:r>
    </w:p>
    <w:p w14:paraId="284B0895" w14:textId="77777777" w:rsidR="00C20920" w:rsidRPr="00297DC0" w:rsidRDefault="00C20920" w:rsidP="00C20920">
      <w:pPr>
        <w:pStyle w:val="FootnoteText"/>
        <w:numPr>
          <w:ilvl w:val="0"/>
          <w:numId w:val="26"/>
        </w:numPr>
        <w:rPr>
          <w:rFonts w:ascii="Gill Sans MT" w:hAnsi="Gill Sans MT"/>
        </w:rPr>
      </w:pPr>
      <w:r w:rsidRPr="00297DC0">
        <w:rPr>
          <w:rFonts w:ascii="Gill Sans MT" w:hAnsi="Gill Sans MT"/>
        </w:rPr>
        <w:t>Affiliations with research, academic, or nonprofit institutions that have received support from the tobacco industry or its agents</w:t>
      </w:r>
    </w:p>
    <w:p w14:paraId="696B8637" w14:textId="61950E40" w:rsidR="00C20920" w:rsidRDefault="00C20920">
      <w:pPr>
        <w:pStyle w:val="FootnoteText"/>
      </w:pPr>
    </w:p>
  </w:footnote>
  <w:footnote w:id="2">
    <w:p w14:paraId="30C7AA61" w14:textId="757AE730" w:rsidR="003C46A0" w:rsidRPr="00896A69" w:rsidRDefault="003C46A0" w:rsidP="003C46A0">
      <w:pPr>
        <w:spacing w:after="0" w:line="240" w:lineRule="auto"/>
        <w:rPr>
          <w:rFonts w:ascii="Gill Sans MT" w:eastAsia="Times New Roman" w:hAnsi="Gill Sans MT" w:cs="Times New Roman"/>
          <w:kern w:val="0"/>
          <w:sz w:val="20"/>
          <w:szCs w:val="20"/>
          <w:lang w:val="en-IN"/>
          <w14:ligatures w14:val="none"/>
        </w:rPr>
      </w:pPr>
      <w:r w:rsidRPr="00896A69">
        <w:rPr>
          <w:rStyle w:val="FootnoteReference"/>
        </w:rPr>
        <w:footnoteRef/>
      </w:r>
      <w:r w:rsidRPr="00896A69">
        <w:t xml:space="preserve"> </w:t>
      </w:r>
      <w:r w:rsidRPr="00896A69">
        <w:rPr>
          <w:rFonts w:ascii="Gill Sans MT" w:eastAsia="Times New Roman" w:hAnsi="Gill Sans MT" w:cs="Times New Roman"/>
          <w:kern w:val="0"/>
          <w:sz w:val="20"/>
          <w:szCs w:val="20"/>
          <w14:ligatures w14:val="none"/>
        </w:rPr>
        <w:t xml:space="preserve">E.g. “does not engage with the tobacco industry and those furthering its interests.” Global Center on Good Governance in Tobacco Control (GGTC). </w:t>
      </w:r>
      <w:r w:rsidRPr="00896A69">
        <w:rPr>
          <w:rFonts w:ascii="Gill Sans MT" w:eastAsia="Times New Roman" w:hAnsi="Gill Sans MT" w:cs="Times New Roman"/>
          <w:kern w:val="0"/>
          <w:sz w:val="20"/>
          <w:szCs w:val="20"/>
          <w:lang w:val="en-IN"/>
          <w14:ligatures w14:val="none"/>
        </w:rPr>
        <w:t xml:space="preserve">CONFLICT OF INTEREST STATEMENT. </w:t>
      </w:r>
      <w:hyperlink r:id="rId1" w:history="1">
        <w:r w:rsidRPr="00896A69">
          <w:rPr>
            <w:rStyle w:val="Hyperlink"/>
            <w:rFonts w:ascii="Gill Sans MT" w:eastAsia="Times New Roman" w:hAnsi="Gill Sans MT" w:cs="Times New Roman"/>
            <w:kern w:val="0"/>
            <w:sz w:val="20"/>
            <w:szCs w:val="20"/>
            <w:lang w:val="en-IN"/>
            <w14:ligatures w14:val="none"/>
          </w:rPr>
          <w:t>https://ggtc.world/coi-policy</w:t>
        </w:r>
      </w:hyperlink>
      <w:r w:rsidRPr="00896A69">
        <w:rPr>
          <w:rFonts w:ascii="Gill Sans MT" w:eastAsia="Times New Roman" w:hAnsi="Gill Sans MT" w:cs="Times New Roman"/>
          <w:kern w:val="0"/>
          <w:sz w:val="20"/>
          <w:szCs w:val="20"/>
          <w:lang w:val="en-IN"/>
          <w14:ligatures w14:val="none"/>
        </w:rPr>
        <w:t xml:space="preserve"> </w:t>
      </w:r>
    </w:p>
  </w:footnote>
  <w:footnote w:id="3">
    <w:p w14:paraId="7B25CE5C" w14:textId="5375EA6D" w:rsidR="003C46A0" w:rsidRPr="008C5082" w:rsidRDefault="003C46A0" w:rsidP="003C46A0">
      <w:pPr>
        <w:spacing w:after="0" w:line="240" w:lineRule="auto"/>
        <w:rPr>
          <w:rFonts w:ascii="Gill Sans MT" w:eastAsia="Times New Roman" w:hAnsi="Gill Sans MT" w:cs="Times New Roman"/>
          <w:kern w:val="0"/>
          <w:sz w:val="20"/>
          <w:szCs w:val="20"/>
          <w14:ligatures w14:val="none"/>
        </w:rPr>
      </w:pPr>
      <w:r w:rsidRPr="00896A69">
        <w:rPr>
          <w:rStyle w:val="FootnoteReference"/>
          <w:rFonts w:ascii="Gill Sans MT" w:hAnsi="Gill Sans MT"/>
          <w:sz w:val="20"/>
          <w:szCs w:val="20"/>
        </w:rPr>
        <w:footnoteRef/>
      </w:r>
      <w:r w:rsidRPr="00896A69">
        <w:rPr>
          <w:rFonts w:ascii="Gill Sans MT" w:hAnsi="Gill Sans MT"/>
          <w:sz w:val="20"/>
          <w:szCs w:val="20"/>
        </w:rPr>
        <w:t xml:space="preserve"> </w:t>
      </w:r>
      <w:r w:rsidRPr="008C5082">
        <w:rPr>
          <w:rFonts w:ascii="Gill Sans MT" w:eastAsia="Times New Roman" w:hAnsi="Gill Sans MT" w:cs="Times New Roman"/>
          <w:kern w:val="0"/>
          <w:sz w:val="20"/>
          <w:szCs w:val="20"/>
          <w14:ligatures w14:val="none"/>
        </w:rPr>
        <w:t xml:space="preserve">E.g. “publicly correct any perception of partnership that may have been created as soon as they become aware of it.” JOINT MEMORANDUM CIRCULAR NO. 2010-01. </w:t>
      </w:r>
      <w:hyperlink r:id="rId2" w:history="1">
        <w:r w:rsidRPr="008C5082">
          <w:rPr>
            <w:rStyle w:val="Hyperlink"/>
            <w:rFonts w:ascii="Gill Sans MT" w:eastAsia="Times New Roman" w:hAnsi="Gill Sans MT" w:cs="Times New Roman"/>
            <w:kern w:val="0"/>
            <w:sz w:val="20"/>
            <w:szCs w:val="20"/>
            <w14:ligatures w14:val="none"/>
          </w:rPr>
          <w:t>https://ggtc.world/dmdocuments/Philippines%20-%20JMC%202010-01%20-%20national.pdf</w:t>
        </w:r>
      </w:hyperlink>
      <w:r w:rsidRPr="008C5082">
        <w:rPr>
          <w:rFonts w:ascii="Gill Sans MT" w:eastAsia="Times New Roman" w:hAnsi="Gill Sans MT" w:cs="Times New Roman"/>
          <w:kern w:val="0"/>
          <w:sz w:val="20"/>
          <w:szCs w:val="20"/>
          <w14:ligatures w14:val="none"/>
        </w:rPr>
        <w:t xml:space="preserve"> </w:t>
      </w:r>
    </w:p>
  </w:footnote>
  <w:footnote w:id="4">
    <w:p w14:paraId="79CBA96A" w14:textId="77777777" w:rsidR="003C46A0" w:rsidRPr="008C5082" w:rsidRDefault="003C46A0" w:rsidP="003C46A0">
      <w:pPr>
        <w:spacing w:after="0" w:line="240" w:lineRule="auto"/>
        <w:rPr>
          <w:rFonts w:ascii="Gill Sans MT" w:eastAsia="Times New Roman" w:hAnsi="Gill Sans MT" w:cs="Times New Roman"/>
          <w:kern w:val="0"/>
          <w:sz w:val="20"/>
          <w:szCs w:val="20"/>
          <w:lang w:val="en-IN"/>
          <w14:ligatures w14:val="none"/>
        </w:rPr>
      </w:pPr>
      <w:r w:rsidRPr="00896A69">
        <w:rPr>
          <w:rStyle w:val="FootnoteReference"/>
          <w:rFonts w:ascii="Gill Sans MT" w:hAnsi="Gill Sans MT"/>
          <w:sz w:val="20"/>
          <w:szCs w:val="20"/>
        </w:rPr>
        <w:footnoteRef/>
      </w:r>
      <w:r w:rsidRPr="00896A69">
        <w:rPr>
          <w:rFonts w:ascii="Gill Sans MT" w:hAnsi="Gill Sans MT"/>
          <w:sz w:val="20"/>
          <w:szCs w:val="20"/>
        </w:rPr>
        <w:t xml:space="preserve"> </w:t>
      </w:r>
      <w:r w:rsidRPr="008C5082">
        <w:rPr>
          <w:rFonts w:ascii="Gill Sans MT" w:eastAsia="Times New Roman" w:hAnsi="Gill Sans MT" w:cs="Times New Roman"/>
          <w:kern w:val="0"/>
          <w:sz w:val="20"/>
          <w:szCs w:val="20"/>
          <w14:ligatures w14:val="none"/>
        </w:rPr>
        <w:t xml:space="preserve">E.g. “entities being funded, supported or influenced in their governance by tobacco-related entities.” Global Center on Good Governance in Tobacco Control (GGTC). </w:t>
      </w:r>
      <w:r w:rsidRPr="008C5082">
        <w:rPr>
          <w:rFonts w:ascii="Gill Sans MT" w:eastAsia="Times New Roman" w:hAnsi="Gill Sans MT" w:cs="Times New Roman"/>
          <w:kern w:val="0"/>
          <w:sz w:val="20"/>
          <w:szCs w:val="20"/>
          <w:lang w:val="en-IN"/>
          <w14:ligatures w14:val="none"/>
        </w:rPr>
        <w:t xml:space="preserve">CONFLICT OF INTEREST STATEMENT. </w:t>
      </w:r>
      <w:hyperlink r:id="rId3" w:history="1">
        <w:r w:rsidRPr="008C5082">
          <w:rPr>
            <w:rStyle w:val="Hyperlink"/>
            <w:rFonts w:ascii="Gill Sans MT" w:eastAsia="Times New Roman" w:hAnsi="Gill Sans MT" w:cs="Times New Roman"/>
            <w:kern w:val="0"/>
            <w:sz w:val="20"/>
            <w:szCs w:val="20"/>
            <w:lang w:val="en-IN"/>
            <w14:ligatures w14:val="none"/>
          </w:rPr>
          <w:t>https://ggtc.world/coi-policy</w:t>
        </w:r>
      </w:hyperlink>
      <w:r w:rsidRPr="008C5082">
        <w:rPr>
          <w:rFonts w:ascii="Gill Sans MT" w:eastAsia="Times New Roman" w:hAnsi="Gill Sans MT" w:cs="Times New Roman"/>
          <w:kern w:val="0"/>
          <w:sz w:val="20"/>
          <w:szCs w:val="20"/>
          <w:lang w:val="en-IN"/>
          <w14:ligatures w14:val="none"/>
        </w:rPr>
        <w:t xml:space="preserve"> </w:t>
      </w:r>
    </w:p>
    <w:p w14:paraId="41BAA91F" w14:textId="152F3AC0" w:rsidR="003C46A0" w:rsidRPr="003C46A0" w:rsidRDefault="003C46A0">
      <w:pPr>
        <w:pStyle w:val="FootnoteText"/>
        <w:rPr>
          <w:lang w:val="en-I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B14FA" w14:textId="77777777" w:rsidR="00C515BD" w:rsidRPr="008C29E0" w:rsidRDefault="00C515BD" w:rsidP="00C515BD">
    <w:pPr>
      <w:pStyle w:val="Header"/>
      <w:rPr>
        <w:rStyle w:val="oypena"/>
        <w:rFonts w:ascii="Gill Sans MT" w:hAnsi="Gill Sans MT"/>
        <w:b/>
        <w:bCs/>
        <w:color w:val="000000"/>
      </w:rPr>
    </w:pPr>
    <w:proofErr w:type="spellStart"/>
    <w:r w:rsidRPr="008C29E0">
      <w:rPr>
        <w:rStyle w:val="oypena"/>
        <w:rFonts w:ascii="Gill Sans MT" w:hAnsi="Gill Sans MT"/>
        <w:b/>
        <w:bCs/>
        <w:color w:val="0E85B1"/>
      </w:rPr>
      <w:t>Courage</w:t>
    </w:r>
    <w:r w:rsidRPr="008C29E0">
      <w:rPr>
        <w:rStyle w:val="oypena"/>
        <w:rFonts w:ascii="Gill Sans MT" w:hAnsi="Gill Sans MT"/>
        <w:b/>
        <w:bCs/>
        <w:color w:val="000000"/>
      </w:rPr>
      <w:t>AgainstTobacco</w:t>
    </w:r>
    <w:proofErr w:type="spellEnd"/>
  </w:p>
  <w:p w14:paraId="34C06FF2" w14:textId="77777777" w:rsidR="00C515BD" w:rsidRPr="008C29E0" w:rsidRDefault="00C515BD" w:rsidP="00C515BD">
    <w:pPr>
      <w:pStyle w:val="Header"/>
      <w:jc w:val="right"/>
      <w:rPr>
        <w:rFonts w:ascii="Gill Sans MT" w:hAnsi="Gill Sans MT" w:cs="Times New Roman"/>
        <w:lang w:val="en-IN"/>
      </w:rPr>
    </w:pPr>
    <w:hyperlink r:id="rId1" w:history="1">
      <w:r w:rsidRPr="008055E3">
        <w:rPr>
          <w:rStyle w:val="Hyperlink"/>
          <w:rFonts w:ascii="Gill Sans MT" w:hAnsi="Gill Sans MT"/>
        </w:rPr>
        <w:t>info@ggtc.world</w:t>
      </w:r>
    </w:hyperlink>
    <w:r>
      <w:rPr>
        <w:rStyle w:val="oypena"/>
        <w:rFonts w:ascii="Gill Sans MT" w:hAnsi="Gill Sans MT"/>
        <w:color w:val="000000"/>
      </w:rPr>
      <w:t xml:space="preserve"> </w:t>
    </w:r>
  </w:p>
  <w:p w14:paraId="246A7FB8" w14:textId="6E994AE5" w:rsidR="006946A8" w:rsidRPr="006946A8" w:rsidRDefault="006946A8">
    <w:pPr>
      <w:pStyle w:val="Header"/>
      <w:rPr>
        <w:rFonts w:ascii="Times New Roman" w:hAnsi="Times New Roman" w:cs="Times New Roman"/>
        <w:lang w:val="en-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E6D6A"/>
    <w:multiLevelType w:val="multilevel"/>
    <w:tmpl w:val="6EE8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3307A"/>
    <w:multiLevelType w:val="multilevel"/>
    <w:tmpl w:val="C7B6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93456E"/>
    <w:multiLevelType w:val="multilevel"/>
    <w:tmpl w:val="8DDE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9E5ED0"/>
    <w:multiLevelType w:val="hybridMultilevel"/>
    <w:tmpl w:val="53B01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55971"/>
    <w:multiLevelType w:val="hybridMultilevel"/>
    <w:tmpl w:val="F56A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21390"/>
    <w:multiLevelType w:val="hybridMultilevel"/>
    <w:tmpl w:val="80745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AD4D24"/>
    <w:multiLevelType w:val="hybridMultilevel"/>
    <w:tmpl w:val="0B88A1DC"/>
    <w:lvl w:ilvl="0" w:tplc="0409000F">
      <w:start w:val="1"/>
      <w:numFmt w:val="decimal"/>
      <w:lvlText w:val="%1."/>
      <w:lvlJc w:val="left"/>
      <w:pPr>
        <w:ind w:left="720" w:hanging="360"/>
      </w:pPr>
    </w:lvl>
    <w:lvl w:ilvl="1" w:tplc="EC481DF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102553"/>
    <w:multiLevelType w:val="hybridMultilevel"/>
    <w:tmpl w:val="F7DC5D06"/>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3237244E"/>
    <w:multiLevelType w:val="hybridMultilevel"/>
    <w:tmpl w:val="06CAB9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7C53C7"/>
    <w:multiLevelType w:val="multilevel"/>
    <w:tmpl w:val="630C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100C40"/>
    <w:multiLevelType w:val="hybridMultilevel"/>
    <w:tmpl w:val="0EDC8D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6868E2"/>
    <w:multiLevelType w:val="multilevel"/>
    <w:tmpl w:val="01B00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714C1"/>
    <w:multiLevelType w:val="hybridMultilevel"/>
    <w:tmpl w:val="D7960EA4"/>
    <w:lvl w:ilvl="0" w:tplc="0409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45D5339A"/>
    <w:multiLevelType w:val="hybridMultilevel"/>
    <w:tmpl w:val="56380C1C"/>
    <w:lvl w:ilvl="0" w:tplc="0DE8B9B6">
      <w:start w:val="5"/>
      <w:numFmt w:val="lowerLetter"/>
      <w:lvlText w:val="%1."/>
      <w:lvlJc w:val="left"/>
      <w:pPr>
        <w:ind w:left="1080" w:hanging="360"/>
      </w:pPr>
      <w:rPr>
        <w:rFonts w:hint="default"/>
      </w:rPr>
    </w:lvl>
    <w:lvl w:ilvl="1" w:tplc="EFAAD98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933DBA"/>
    <w:multiLevelType w:val="hybridMultilevel"/>
    <w:tmpl w:val="7882A8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6D44FD1"/>
    <w:multiLevelType w:val="multilevel"/>
    <w:tmpl w:val="8CD4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9E44BC"/>
    <w:multiLevelType w:val="multilevel"/>
    <w:tmpl w:val="423C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353B9F"/>
    <w:multiLevelType w:val="multilevel"/>
    <w:tmpl w:val="230E4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94572"/>
    <w:multiLevelType w:val="multilevel"/>
    <w:tmpl w:val="F898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7F2980"/>
    <w:multiLevelType w:val="multilevel"/>
    <w:tmpl w:val="AF36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E052B6"/>
    <w:multiLevelType w:val="multilevel"/>
    <w:tmpl w:val="D3A6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EF295F"/>
    <w:multiLevelType w:val="hybridMultilevel"/>
    <w:tmpl w:val="989C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66647A"/>
    <w:multiLevelType w:val="multilevel"/>
    <w:tmpl w:val="E386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9574EC"/>
    <w:multiLevelType w:val="hybridMultilevel"/>
    <w:tmpl w:val="4278516C"/>
    <w:lvl w:ilvl="0" w:tplc="0409000F">
      <w:start w:val="1"/>
      <w:numFmt w:val="decimal"/>
      <w:lvlText w:val="%1."/>
      <w:lvlJc w:val="left"/>
      <w:pPr>
        <w:ind w:left="720" w:hanging="360"/>
      </w:pPr>
    </w:lvl>
    <w:lvl w:ilvl="1" w:tplc="40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061AA"/>
    <w:multiLevelType w:val="multilevel"/>
    <w:tmpl w:val="412822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FD475B"/>
    <w:multiLevelType w:val="hybridMultilevel"/>
    <w:tmpl w:val="51B86706"/>
    <w:lvl w:ilvl="0" w:tplc="FFFFFFFF">
      <w:start w:val="1"/>
      <w:numFmt w:val="decimal"/>
      <w:lvlText w:val="%1."/>
      <w:lvlJc w:val="left"/>
      <w:pPr>
        <w:ind w:left="720" w:hanging="360"/>
      </w:pPr>
    </w:lvl>
    <w:lvl w:ilvl="1" w:tplc="40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57857A5"/>
    <w:multiLevelType w:val="hybridMultilevel"/>
    <w:tmpl w:val="6BF8A756"/>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B4D0BCD"/>
    <w:multiLevelType w:val="hybridMultilevel"/>
    <w:tmpl w:val="D5FA7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1102949">
    <w:abstractNumId w:val="2"/>
  </w:num>
  <w:num w:numId="2" w16cid:durableId="1835950586">
    <w:abstractNumId w:val="1"/>
  </w:num>
  <w:num w:numId="3" w16cid:durableId="1340617076">
    <w:abstractNumId w:val="0"/>
  </w:num>
  <w:num w:numId="4" w16cid:durableId="903443749">
    <w:abstractNumId w:val="17"/>
  </w:num>
  <w:num w:numId="5" w16cid:durableId="643201707">
    <w:abstractNumId w:val="18"/>
  </w:num>
  <w:num w:numId="6" w16cid:durableId="1736079969">
    <w:abstractNumId w:val="9"/>
  </w:num>
  <w:num w:numId="7" w16cid:durableId="1959602023">
    <w:abstractNumId w:val="11"/>
  </w:num>
  <w:num w:numId="8" w16cid:durableId="93793771">
    <w:abstractNumId w:val="16"/>
  </w:num>
  <w:num w:numId="9" w16cid:durableId="1650086886">
    <w:abstractNumId w:val="19"/>
  </w:num>
  <w:num w:numId="10" w16cid:durableId="1365905204">
    <w:abstractNumId w:val="24"/>
  </w:num>
  <w:num w:numId="11" w16cid:durableId="439616568">
    <w:abstractNumId w:val="20"/>
  </w:num>
  <w:num w:numId="12" w16cid:durableId="1749375492">
    <w:abstractNumId w:val="4"/>
  </w:num>
  <w:num w:numId="13" w16cid:durableId="299311639">
    <w:abstractNumId w:val="3"/>
  </w:num>
  <w:num w:numId="14" w16cid:durableId="218708361">
    <w:abstractNumId w:val="27"/>
  </w:num>
  <w:num w:numId="15" w16cid:durableId="273708337">
    <w:abstractNumId w:val="6"/>
  </w:num>
  <w:num w:numId="16" w16cid:durableId="1799909152">
    <w:abstractNumId w:val="23"/>
  </w:num>
  <w:num w:numId="17" w16cid:durableId="210848422">
    <w:abstractNumId w:val="7"/>
  </w:num>
  <w:num w:numId="18" w16cid:durableId="748504775">
    <w:abstractNumId w:val="13"/>
  </w:num>
  <w:num w:numId="19" w16cid:durableId="1920405556">
    <w:abstractNumId w:val="12"/>
  </w:num>
  <w:num w:numId="20" w16cid:durableId="1681538637">
    <w:abstractNumId w:val="14"/>
  </w:num>
  <w:num w:numId="21" w16cid:durableId="1539203244">
    <w:abstractNumId w:val="21"/>
  </w:num>
  <w:num w:numId="22" w16cid:durableId="1505197130">
    <w:abstractNumId w:val="10"/>
  </w:num>
  <w:num w:numId="23" w16cid:durableId="662315741">
    <w:abstractNumId w:val="26"/>
  </w:num>
  <w:num w:numId="24" w16cid:durableId="11105782">
    <w:abstractNumId w:val="8"/>
  </w:num>
  <w:num w:numId="25" w16cid:durableId="1536654608">
    <w:abstractNumId w:val="5"/>
  </w:num>
  <w:num w:numId="26" w16cid:durableId="249699208">
    <w:abstractNumId w:val="22"/>
  </w:num>
  <w:num w:numId="27" w16cid:durableId="374426643">
    <w:abstractNumId w:val="15"/>
  </w:num>
  <w:num w:numId="28" w16cid:durableId="100316732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E68"/>
    <w:rsid w:val="00023A7F"/>
    <w:rsid w:val="00045C63"/>
    <w:rsid w:val="00076FDC"/>
    <w:rsid w:val="0007770E"/>
    <w:rsid w:val="00085808"/>
    <w:rsid w:val="00116550"/>
    <w:rsid w:val="0017393C"/>
    <w:rsid w:val="001B79FF"/>
    <w:rsid w:val="0021628E"/>
    <w:rsid w:val="002236BD"/>
    <w:rsid w:val="00233E9C"/>
    <w:rsid w:val="00247670"/>
    <w:rsid w:val="00267DB7"/>
    <w:rsid w:val="00282B4C"/>
    <w:rsid w:val="00297DC0"/>
    <w:rsid w:val="002C38F9"/>
    <w:rsid w:val="002D54B9"/>
    <w:rsid w:val="00303068"/>
    <w:rsid w:val="00352991"/>
    <w:rsid w:val="003A3C17"/>
    <w:rsid w:val="003C46A0"/>
    <w:rsid w:val="003F2748"/>
    <w:rsid w:val="00403017"/>
    <w:rsid w:val="00426127"/>
    <w:rsid w:val="004778A5"/>
    <w:rsid w:val="004A04C9"/>
    <w:rsid w:val="004D1127"/>
    <w:rsid w:val="004E4BB1"/>
    <w:rsid w:val="004F6BBC"/>
    <w:rsid w:val="00522A3B"/>
    <w:rsid w:val="0054612C"/>
    <w:rsid w:val="005604F3"/>
    <w:rsid w:val="00570549"/>
    <w:rsid w:val="00585079"/>
    <w:rsid w:val="005B77FF"/>
    <w:rsid w:val="005D3A72"/>
    <w:rsid w:val="005E4393"/>
    <w:rsid w:val="006946A8"/>
    <w:rsid w:val="00697595"/>
    <w:rsid w:val="006A1E68"/>
    <w:rsid w:val="006F4371"/>
    <w:rsid w:val="006F453D"/>
    <w:rsid w:val="00700BD6"/>
    <w:rsid w:val="00767E5A"/>
    <w:rsid w:val="00796969"/>
    <w:rsid w:val="007B7683"/>
    <w:rsid w:val="00813F5C"/>
    <w:rsid w:val="00824AF1"/>
    <w:rsid w:val="00896A69"/>
    <w:rsid w:val="008B3EC3"/>
    <w:rsid w:val="008C5082"/>
    <w:rsid w:val="00923EA4"/>
    <w:rsid w:val="0093120D"/>
    <w:rsid w:val="0094357D"/>
    <w:rsid w:val="0099407B"/>
    <w:rsid w:val="00A358AA"/>
    <w:rsid w:val="00A75D34"/>
    <w:rsid w:val="00B4313B"/>
    <w:rsid w:val="00B45C50"/>
    <w:rsid w:val="00B57AE9"/>
    <w:rsid w:val="00B66CBD"/>
    <w:rsid w:val="00B93195"/>
    <w:rsid w:val="00BA3C8A"/>
    <w:rsid w:val="00BF25A4"/>
    <w:rsid w:val="00BF75C4"/>
    <w:rsid w:val="00C20920"/>
    <w:rsid w:val="00C27A1F"/>
    <w:rsid w:val="00C515BD"/>
    <w:rsid w:val="00CA688D"/>
    <w:rsid w:val="00CF7720"/>
    <w:rsid w:val="00D12089"/>
    <w:rsid w:val="00D77D3A"/>
    <w:rsid w:val="00DA471B"/>
    <w:rsid w:val="00DB06B5"/>
    <w:rsid w:val="00DB544E"/>
    <w:rsid w:val="00DD14EC"/>
    <w:rsid w:val="00E27AF6"/>
    <w:rsid w:val="00E34877"/>
    <w:rsid w:val="00EF1164"/>
    <w:rsid w:val="00F0665E"/>
    <w:rsid w:val="00F34719"/>
    <w:rsid w:val="00F47A26"/>
    <w:rsid w:val="00F72FD9"/>
    <w:rsid w:val="00FB675B"/>
    <w:rsid w:val="00FC1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4637A"/>
  <w15:chartTrackingRefBased/>
  <w15:docId w15:val="{748767DF-243A-C845-B07D-9809AFFA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1E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A1E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A1E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E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E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E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E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E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E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E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A1E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A1E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E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E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E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E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E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E68"/>
    <w:rPr>
      <w:rFonts w:eastAsiaTheme="majorEastAsia" w:cstheme="majorBidi"/>
      <w:color w:val="272727" w:themeColor="text1" w:themeTint="D8"/>
    </w:rPr>
  </w:style>
  <w:style w:type="paragraph" w:styleId="Title">
    <w:name w:val="Title"/>
    <w:basedOn w:val="Normal"/>
    <w:next w:val="Normal"/>
    <w:link w:val="TitleChar"/>
    <w:uiPriority w:val="10"/>
    <w:qFormat/>
    <w:rsid w:val="006A1E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E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E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E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E68"/>
    <w:pPr>
      <w:spacing w:before="160"/>
      <w:jc w:val="center"/>
    </w:pPr>
    <w:rPr>
      <w:i/>
      <w:iCs/>
      <w:color w:val="404040" w:themeColor="text1" w:themeTint="BF"/>
    </w:rPr>
  </w:style>
  <w:style w:type="character" w:customStyle="1" w:styleId="QuoteChar">
    <w:name w:val="Quote Char"/>
    <w:basedOn w:val="DefaultParagraphFont"/>
    <w:link w:val="Quote"/>
    <w:uiPriority w:val="29"/>
    <w:rsid w:val="006A1E68"/>
    <w:rPr>
      <w:i/>
      <w:iCs/>
      <w:color w:val="404040" w:themeColor="text1" w:themeTint="BF"/>
    </w:rPr>
  </w:style>
  <w:style w:type="paragraph" w:styleId="ListParagraph">
    <w:name w:val="List Paragraph"/>
    <w:basedOn w:val="Normal"/>
    <w:uiPriority w:val="34"/>
    <w:qFormat/>
    <w:rsid w:val="006A1E68"/>
    <w:pPr>
      <w:ind w:left="720"/>
      <w:contextualSpacing/>
    </w:pPr>
  </w:style>
  <w:style w:type="character" w:styleId="IntenseEmphasis">
    <w:name w:val="Intense Emphasis"/>
    <w:basedOn w:val="DefaultParagraphFont"/>
    <w:uiPriority w:val="21"/>
    <w:qFormat/>
    <w:rsid w:val="006A1E68"/>
    <w:rPr>
      <w:i/>
      <w:iCs/>
      <w:color w:val="0F4761" w:themeColor="accent1" w:themeShade="BF"/>
    </w:rPr>
  </w:style>
  <w:style w:type="paragraph" w:styleId="IntenseQuote">
    <w:name w:val="Intense Quote"/>
    <w:basedOn w:val="Normal"/>
    <w:next w:val="Normal"/>
    <w:link w:val="IntenseQuoteChar"/>
    <w:uiPriority w:val="30"/>
    <w:qFormat/>
    <w:rsid w:val="006A1E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E68"/>
    <w:rPr>
      <w:i/>
      <w:iCs/>
      <w:color w:val="0F4761" w:themeColor="accent1" w:themeShade="BF"/>
    </w:rPr>
  </w:style>
  <w:style w:type="character" w:styleId="IntenseReference">
    <w:name w:val="Intense Reference"/>
    <w:basedOn w:val="DefaultParagraphFont"/>
    <w:uiPriority w:val="32"/>
    <w:qFormat/>
    <w:rsid w:val="006A1E68"/>
    <w:rPr>
      <w:b/>
      <w:bCs/>
      <w:smallCaps/>
      <w:color w:val="0F4761" w:themeColor="accent1" w:themeShade="BF"/>
      <w:spacing w:val="5"/>
    </w:rPr>
  </w:style>
  <w:style w:type="paragraph" w:styleId="NormalWeb">
    <w:name w:val="Normal (Web)"/>
    <w:basedOn w:val="Normal"/>
    <w:uiPriority w:val="99"/>
    <w:semiHidden/>
    <w:unhideWhenUsed/>
    <w:rsid w:val="006A1E68"/>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E68"/>
    <w:rPr>
      <w:b/>
      <w:bCs/>
    </w:rPr>
  </w:style>
  <w:style w:type="character" w:styleId="Emphasis">
    <w:name w:val="Emphasis"/>
    <w:basedOn w:val="DefaultParagraphFont"/>
    <w:uiPriority w:val="20"/>
    <w:qFormat/>
    <w:rsid w:val="006A1E68"/>
    <w:rPr>
      <w:i/>
      <w:iCs/>
    </w:rPr>
  </w:style>
  <w:style w:type="paragraph" w:styleId="Header">
    <w:name w:val="header"/>
    <w:basedOn w:val="Normal"/>
    <w:link w:val="HeaderChar"/>
    <w:uiPriority w:val="99"/>
    <w:unhideWhenUsed/>
    <w:rsid w:val="004778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8A5"/>
  </w:style>
  <w:style w:type="paragraph" w:styleId="Footer">
    <w:name w:val="footer"/>
    <w:basedOn w:val="Normal"/>
    <w:link w:val="FooterChar"/>
    <w:uiPriority w:val="99"/>
    <w:unhideWhenUsed/>
    <w:rsid w:val="004778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8A5"/>
  </w:style>
  <w:style w:type="paragraph" w:styleId="Revision">
    <w:name w:val="Revision"/>
    <w:hidden/>
    <w:uiPriority w:val="99"/>
    <w:semiHidden/>
    <w:rsid w:val="00F34719"/>
    <w:pPr>
      <w:spacing w:after="0" w:line="240" w:lineRule="auto"/>
    </w:pPr>
  </w:style>
  <w:style w:type="character" w:styleId="Hyperlink">
    <w:name w:val="Hyperlink"/>
    <w:basedOn w:val="DefaultParagraphFont"/>
    <w:uiPriority w:val="99"/>
    <w:unhideWhenUsed/>
    <w:rsid w:val="00697595"/>
    <w:rPr>
      <w:color w:val="467886" w:themeColor="hyperlink"/>
      <w:u w:val="single"/>
    </w:rPr>
  </w:style>
  <w:style w:type="character" w:styleId="UnresolvedMention">
    <w:name w:val="Unresolved Mention"/>
    <w:basedOn w:val="DefaultParagraphFont"/>
    <w:uiPriority w:val="99"/>
    <w:semiHidden/>
    <w:unhideWhenUsed/>
    <w:rsid w:val="00697595"/>
    <w:rPr>
      <w:color w:val="605E5C"/>
      <w:shd w:val="clear" w:color="auto" w:fill="E1DFDD"/>
    </w:rPr>
  </w:style>
  <w:style w:type="character" w:styleId="FollowedHyperlink">
    <w:name w:val="FollowedHyperlink"/>
    <w:basedOn w:val="DefaultParagraphFont"/>
    <w:uiPriority w:val="99"/>
    <w:semiHidden/>
    <w:unhideWhenUsed/>
    <w:rsid w:val="0094357D"/>
    <w:rPr>
      <w:color w:val="96607D" w:themeColor="followedHyperlink"/>
      <w:u w:val="single"/>
    </w:rPr>
  </w:style>
  <w:style w:type="paragraph" w:styleId="FootnoteText">
    <w:name w:val="footnote text"/>
    <w:basedOn w:val="Normal"/>
    <w:link w:val="FootnoteTextChar"/>
    <w:uiPriority w:val="99"/>
    <w:semiHidden/>
    <w:unhideWhenUsed/>
    <w:rsid w:val="00C209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0920"/>
    <w:rPr>
      <w:sz w:val="20"/>
      <w:szCs w:val="20"/>
    </w:rPr>
  </w:style>
  <w:style w:type="character" w:styleId="FootnoteReference">
    <w:name w:val="footnote reference"/>
    <w:basedOn w:val="DefaultParagraphFont"/>
    <w:uiPriority w:val="99"/>
    <w:semiHidden/>
    <w:unhideWhenUsed/>
    <w:rsid w:val="00C20920"/>
    <w:rPr>
      <w:vertAlign w:val="superscript"/>
    </w:rPr>
  </w:style>
  <w:style w:type="character" w:customStyle="1" w:styleId="oypena">
    <w:name w:val="oypena"/>
    <w:basedOn w:val="DefaultParagraphFont"/>
    <w:rsid w:val="00C515BD"/>
  </w:style>
  <w:style w:type="character" w:styleId="CommentReference">
    <w:name w:val="annotation reference"/>
    <w:basedOn w:val="DefaultParagraphFont"/>
    <w:uiPriority w:val="99"/>
    <w:semiHidden/>
    <w:unhideWhenUsed/>
    <w:rsid w:val="00B57AE9"/>
    <w:rPr>
      <w:sz w:val="16"/>
      <w:szCs w:val="16"/>
    </w:rPr>
  </w:style>
  <w:style w:type="paragraph" w:styleId="CommentText">
    <w:name w:val="annotation text"/>
    <w:basedOn w:val="Normal"/>
    <w:link w:val="CommentTextChar"/>
    <w:uiPriority w:val="99"/>
    <w:unhideWhenUsed/>
    <w:rsid w:val="00B57AE9"/>
    <w:pPr>
      <w:spacing w:line="240" w:lineRule="auto"/>
    </w:pPr>
    <w:rPr>
      <w:sz w:val="20"/>
      <w:szCs w:val="20"/>
    </w:rPr>
  </w:style>
  <w:style w:type="character" w:customStyle="1" w:styleId="CommentTextChar">
    <w:name w:val="Comment Text Char"/>
    <w:basedOn w:val="DefaultParagraphFont"/>
    <w:link w:val="CommentText"/>
    <w:uiPriority w:val="99"/>
    <w:rsid w:val="00B57AE9"/>
    <w:rPr>
      <w:sz w:val="20"/>
      <w:szCs w:val="20"/>
    </w:rPr>
  </w:style>
  <w:style w:type="paragraph" w:styleId="CommentSubject">
    <w:name w:val="annotation subject"/>
    <w:basedOn w:val="CommentText"/>
    <w:next w:val="CommentText"/>
    <w:link w:val="CommentSubjectChar"/>
    <w:uiPriority w:val="99"/>
    <w:semiHidden/>
    <w:unhideWhenUsed/>
    <w:rsid w:val="00B57AE9"/>
    <w:rPr>
      <w:b/>
      <w:bCs/>
    </w:rPr>
  </w:style>
  <w:style w:type="character" w:customStyle="1" w:styleId="CommentSubjectChar">
    <w:name w:val="Comment Subject Char"/>
    <w:basedOn w:val="CommentTextChar"/>
    <w:link w:val="CommentSubject"/>
    <w:uiPriority w:val="99"/>
    <w:semiHidden/>
    <w:rsid w:val="00B57A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0061">
      <w:bodyDiv w:val="1"/>
      <w:marLeft w:val="0"/>
      <w:marRight w:val="0"/>
      <w:marTop w:val="0"/>
      <w:marBottom w:val="0"/>
      <w:divBdr>
        <w:top w:val="none" w:sz="0" w:space="0" w:color="auto"/>
        <w:left w:val="none" w:sz="0" w:space="0" w:color="auto"/>
        <w:bottom w:val="none" w:sz="0" w:space="0" w:color="auto"/>
        <w:right w:val="none" w:sz="0" w:space="0" w:color="auto"/>
      </w:divBdr>
    </w:div>
    <w:div w:id="870218736">
      <w:bodyDiv w:val="1"/>
      <w:marLeft w:val="0"/>
      <w:marRight w:val="0"/>
      <w:marTop w:val="0"/>
      <w:marBottom w:val="0"/>
      <w:divBdr>
        <w:top w:val="none" w:sz="0" w:space="0" w:color="auto"/>
        <w:left w:val="none" w:sz="0" w:space="0" w:color="auto"/>
        <w:bottom w:val="none" w:sz="0" w:space="0" w:color="auto"/>
        <w:right w:val="none" w:sz="0" w:space="0" w:color="auto"/>
      </w:divBdr>
    </w:div>
    <w:div w:id="1062675139">
      <w:bodyDiv w:val="1"/>
      <w:marLeft w:val="0"/>
      <w:marRight w:val="0"/>
      <w:marTop w:val="0"/>
      <w:marBottom w:val="0"/>
      <w:divBdr>
        <w:top w:val="none" w:sz="0" w:space="0" w:color="auto"/>
        <w:left w:val="none" w:sz="0" w:space="0" w:color="auto"/>
        <w:bottom w:val="none" w:sz="0" w:space="0" w:color="auto"/>
        <w:right w:val="none" w:sz="0" w:space="0" w:color="auto"/>
      </w:divBdr>
    </w:div>
    <w:div w:id="1143473782">
      <w:bodyDiv w:val="1"/>
      <w:marLeft w:val="0"/>
      <w:marRight w:val="0"/>
      <w:marTop w:val="0"/>
      <w:marBottom w:val="0"/>
      <w:divBdr>
        <w:top w:val="none" w:sz="0" w:space="0" w:color="auto"/>
        <w:left w:val="none" w:sz="0" w:space="0" w:color="auto"/>
        <w:bottom w:val="none" w:sz="0" w:space="0" w:color="auto"/>
        <w:right w:val="none" w:sz="0" w:space="0" w:color="auto"/>
      </w:divBdr>
    </w:div>
    <w:div w:id="1170563795">
      <w:bodyDiv w:val="1"/>
      <w:marLeft w:val="0"/>
      <w:marRight w:val="0"/>
      <w:marTop w:val="0"/>
      <w:marBottom w:val="0"/>
      <w:divBdr>
        <w:top w:val="none" w:sz="0" w:space="0" w:color="auto"/>
        <w:left w:val="none" w:sz="0" w:space="0" w:color="auto"/>
        <w:bottom w:val="none" w:sz="0" w:space="0" w:color="auto"/>
        <w:right w:val="none" w:sz="0" w:space="0" w:color="auto"/>
      </w:divBdr>
    </w:div>
    <w:div w:id="1313682757">
      <w:bodyDiv w:val="1"/>
      <w:marLeft w:val="0"/>
      <w:marRight w:val="0"/>
      <w:marTop w:val="0"/>
      <w:marBottom w:val="0"/>
      <w:divBdr>
        <w:top w:val="none" w:sz="0" w:space="0" w:color="auto"/>
        <w:left w:val="none" w:sz="0" w:space="0" w:color="auto"/>
        <w:bottom w:val="none" w:sz="0" w:space="0" w:color="auto"/>
        <w:right w:val="none" w:sz="0" w:space="0" w:color="auto"/>
      </w:divBdr>
    </w:div>
    <w:div w:id="1390222560">
      <w:bodyDiv w:val="1"/>
      <w:marLeft w:val="0"/>
      <w:marRight w:val="0"/>
      <w:marTop w:val="0"/>
      <w:marBottom w:val="0"/>
      <w:divBdr>
        <w:top w:val="none" w:sz="0" w:space="0" w:color="auto"/>
        <w:left w:val="none" w:sz="0" w:space="0" w:color="auto"/>
        <w:bottom w:val="none" w:sz="0" w:space="0" w:color="auto"/>
        <w:right w:val="none" w:sz="0" w:space="0" w:color="auto"/>
      </w:divBdr>
    </w:div>
    <w:div w:id="199217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ctc.who.int/resources/publications/m/item/guidelines-for-implementation-of-article-5.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baccotactics.org/wiki/philip-morris-internationals-smoke-free-world-campaign/" TargetMode="External"/><Relationship Id="rId5" Type="http://schemas.openxmlformats.org/officeDocument/2006/relationships/webSettings" Target="webSettings.xml"/><Relationship Id="rId10" Type="http://schemas.openxmlformats.org/officeDocument/2006/relationships/hyperlink" Target="https://tobaccotactics.org/wiki/foundation-for-a-smoke-free-world/" TargetMode="External"/><Relationship Id="rId4" Type="http://schemas.openxmlformats.org/officeDocument/2006/relationships/settings" Target="settings.xml"/><Relationship Id="rId9" Type="http://schemas.openxmlformats.org/officeDocument/2006/relationships/hyperlink" Target="https://files.ggtc.world/uploads/2024-02-01/03-07-53-470050/GGTC%20Toolkit%20(Redesign)%20171123.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ggtc.world/coi-policy" TargetMode="External"/><Relationship Id="rId2" Type="http://schemas.openxmlformats.org/officeDocument/2006/relationships/hyperlink" Target="https://ggtc.world/dmdocuments/Philippines%20-%20JMC%202010-01%20-%20national.pdf" TargetMode="External"/><Relationship Id="rId1" Type="http://schemas.openxmlformats.org/officeDocument/2006/relationships/hyperlink" Target="https://ggtc.world/coi-policy"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info@ggtc.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51ED7-E934-4152-86EC-0B015A7A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Sy</dc:creator>
  <cp:keywords/>
  <dc:description/>
  <cp:lastModifiedBy>Farah Niazi</cp:lastModifiedBy>
  <cp:revision>6</cp:revision>
  <dcterms:created xsi:type="dcterms:W3CDTF">2025-06-13T07:08:00Z</dcterms:created>
  <dcterms:modified xsi:type="dcterms:W3CDTF">2025-06-16T04:36:00Z</dcterms:modified>
</cp:coreProperties>
</file>