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DA390" w14:textId="1D7A7479" w:rsidR="00AA11FD" w:rsidRPr="00AA11FD" w:rsidRDefault="00AA11FD" w:rsidP="00AA11FD">
      <w:pPr>
        <w:spacing w:before="100" w:beforeAutospacing="1" w:after="100" w:afterAutospacing="1" w:line="240" w:lineRule="auto"/>
        <w:outlineLvl w:val="0"/>
        <w:rPr>
          <w:rFonts w:ascii="Gill Sans MT" w:eastAsia="Times New Roman" w:hAnsi="Gill Sans MT" w:cs="Times New Roman"/>
          <w:b/>
          <w:bCs/>
          <w:kern w:val="36"/>
          <w:sz w:val="48"/>
          <w:szCs w:val="48"/>
          <w14:ligatures w14:val="none"/>
        </w:rPr>
      </w:pPr>
      <w:bookmarkStart w:id="0" w:name="_Hlk199420108"/>
      <w:r w:rsidRPr="00AA11FD">
        <w:rPr>
          <w:rFonts w:ascii="Gill Sans MT" w:eastAsia="Times New Roman" w:hAnsi="Gill Sans MT" w:cs="Times New Roman"/>
          <w:b/>
          <w:bCs/>
          <w:kern w:val="36"/>
          <w:sz w:val="48"/>
          <w:szCs w:val="48"/>
          <w14:ligatures w14:val="none"/>
        </w:rPr>
        <w:t xml:space="preserve">Framework for Sanctions and Corrective Actions in Cases of Conflict of Interest </w:t>
      </w:r>
    </w:p>
    <w:bookmarkEnd w:id="0"/>
    <w:p w14:paraId="6B888405" w14:textId="77777777" w:rsidR="00AA11FD" w:rsidRPr="00AA11FD" w:rsidRDefault="00AA11FD" w:rsidP="00AA11FD">
      <w:pPr>
        <w:spacing w:before="100" w:beforeAutospacing="1" w:after="100" w:afterAutospacing="1" w:line="240" w:lineRule="auto"/>
        <w:outlineLvl w:val="2"/>
        <w:rPr>
          <w:rFonts w:ascii="Gill Sans MT" w:eastAsia="Times New Roman" w:hAnsi="Gill Sans MT" w:cs="Times New Roman"/>
          <w:b/>
          <w:bCs/>
          <w:kern w:val="0"/>
          <w:sz w:val="27"/>
          <w:szCs w:val="27"/>
          <w14:ligatures w14:val="none"/>
        </w:rPr>
      </w:pPr>
      <w:r w:rsidRPr="00AA11FD">
        <w:rPr>
          <w:rFonts w:ascii="Gill Sans MT" w:eastAsia="Times New Roman" w:hAnsi="Gill Sans MT" w:cs="Times New Roman"/>
          <w:b/>
          <w:bCs/>
          <w:kern w:val="0"/>
          <w:sz w:val="27"/>
          <w:szCs w:val="27"/>
          <w14:ligatures w14:val="none"/>
        </w:rPr>
        <w:t>Purpose</w:t>
      </w:r>
    </w:p>
    <w:p w14:paraId="6F3DA542" w14:textId="38CB0F8C" w:rsidR="00AA11FD" w:rsidRPr="004E0E2B" w:rsidRDefault="00AA11FD" w:rsidP="00AA11FD">
      <w:pPr>
        <w:spacing w:before="100" w:beforeAutospacing="1" w:after="100" w:afterAutospacing="1" w:line="240" w:lineRule="auto"/>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This Framework outlines the range and severity of sanctions and corrective actions that may be imposed in response to actual or perceived conflicts of interest, including inappropriate interactions with the tobacco industry. It is designed to guide decision-makers in responding to violations consistently and proportionately, in alignment with broader conflict</w:t>
      </w:r>
      <w:r w:rsidR="00F11EB4">
        <w:rPr>
          <w:rFonts w:ascii="Gill Sans MT" w:eastAsia="Times New Roman" w:hAnsi="Gill Sans MT" w:cs="Times New Roman"/>
          <w:kern w:val="0"/>
          <w14:ligatures w14:val="none"/>
        </w:rPr>
        <w:t xml:space="preserve"> </w:t>
      </w:r>
      <w:r w:rsidRPr="00AA11FD">
        <w:rPr>
          <w:rFonts w:ascii="Gill Sans MT" w:eastAsia="Times New Roman" w:hAnsi="Gill Sans MT" w:cs="Times New Roman"/>
          <w:kern w:val="0"/>
          <w14:ligatures w14:val="none"/>
        </w:rPr>
        <w:t>of</w:t>
      </w:r>
      <w:r w:rsidR="00F11EB4">
        <w:rPr>
          <w:rFonts w:ascii="Gill Sans MT" w:eastAsia="Times New Roman" w:hAnsi="Gill Sans MT" w:cs="Times New Roman"/>
          <w:kern w:val="0"/>
          <w14:ligatures w14:val="none"/>
        </w:rPr>
        <w:t xml:space="preserve"> </w:t>
      </w:r>
      <w:r w:rsidR="00F11EB4" w:rsidRPr="00AA11FD">
        <w:rPr>
          <w:rFonts w:ascii="Gill Sans MT" w:eastAsia="Times New Roman" w:hAnsi="Gill Sans MT" w:cs="Times New Roman"/>
          <w:kern w:val="0"/>
          <w14:ligatures w14:val="none"/>
        </w:rPr>
        <w:t>interest</w:t>
      </w:r>
      <w:r w:rsidRPr="00AA11FD">
        <w:rPr>
          <w:rFonts w:ascii="Gill Sans MT" w:eastAsia="Times New Roman" w:hAnsi="Gill Sans MT" w:cs="Times New Roman"/>
          <w:kern w:val="0"/>
          <w14:ligatures w14:val="none"/>
        </w:rPr>
        <w:t xml:space="preserve"> policies</w:t>
      </w:r>
      <w:r>
        <w:rPr>
          <w:rFonts w:ascii="Gill Sans MT" w:eastAsia="Times New Roman" w:hAnsi="Gill Sans MT" w:cs="Times New Roman"/>
          <w:kern w:val="0"/>
          <w14:ligatures w14:val="none"/>
        </w:rPr>
        <w:t xml:space="preserve">, as defined in </w:t>
      </w:r>
      <w:r w:rsidR="00C90DBE" w:rsidRPr="009D03D9">
        <w:rPr>
          <w:rFonts w:ascii="Gill Sans MT" w:eastAsia="Times New Roman" w:hAnsi="Gill Sans MT" w:cs="Times New Roman"/>
          <w:kern w:val="0"/>
          <w14:ligatures w14:val="none"/>
        </w:rPr>
        <w:t>Conflict of Interest Policy: Tobacco Industry Non-Engagement Provision</w:t>
      </w:r>
      <w:r w:rsidR="006842AF" w:rsidRPr="004E0E2B">
        <w:rPr>
          <w:rFonts w:ascii="Gill Sans MT" w:eastAsia="Times New Roman" w:hAnsi="Gill Sans MT" w:cs="Times New Roman"/>
          <w:kern w:val="0"/>
          <w14:ligatures w14:val="none"/>
        </w:rPr>
        <w:t>.</w:t>
      </w:r>
    </w:p>
    <w:p w14:paraId="05FAD607" w14:textId="77777777" w:rsidR="00AA11FD" w:rsidRPr="00AA11FD" w:rsidRDefault="00000000" w:rsidP="00AA11FD">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46D063FC">
          <v:rect id="_x0000_i1025" alt="" style="width:468pt;height:.05pt;mso-width-percent:0;mso-height-percent:0;mso-width-percent:0;mso-height-percent:0" o:hralign="center" o:hrstd="t" o:hr="t" fillcolor="#a0a0a0" stroked="f"/>
        </w:pict>
      </w:r>
    </w:p>
    <w:p w14:paraId="02F18C2F" w14:textId="77777777" w:rsidR="00AA11FD" w:rsidRPr="00AA11FD" w:rsidRDefault="00AA11FD" w:rsidP="00AA11FD">
      <w:pPr>
        <w:spacing w:before="100" w:beforeAutospacing="1" w:after="100" w:afterAutospacing="1" w:line="240" w:lineRule="auto"/>
        <w:outlineLvl w:val="2"/>
        <w:rPr>
          <w:rFonts w:ascii="Gill Sans MT" w:eastAsia="Times New Roman" w:hAnsi="Gill Sans MT" w:cs="Times New Roman"/>
          <w:b/>
          <w:bCs/>
          <w:kern w:val="0"/>
          <w:sz w:val="27"/>
          <w:szCs w:val="27"/>
          <w14:ligatures w14:val="none"/>
        </w:rPr>
      </w:pPr>
      <w:r w:rsidRPr="00AA11FD">
        <w:rPr>
          <w:rFonts w:ascii="Gill Sans MT" w:eastAsia="Times New Roman" w:hAnsi="Gill Sans MT" w:cs="Times New Roman"/>
          <w:b/>
          <w:bCs/>
          <w:kern w:val="0"/>
          <w:sz w:val="27"/>
          <w:szCs w:val="27"/>
          <w14:ligatures w14:val="none"/>
        </w:rPr>
        <w:t>Application</w:t>
      </w:r>
    </w:p>
    <w:p w14:paraId="079B9F0D" w14:textId="6DB4D09B" w:rsidR="00AA11FD" w:rsidRPr="00AA11FD" w:rsidRDefault="00AA11FD" w:rsidP="00AA11FD">
      <w:pPr>
        <w:spacing w:before="100" w:beforeAutospacing="1" w:after="100" w:afterAutospacing="1" w:line="240" w:lineRule="auto"/>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This framework serves as a reference tool for decision-</w:t>
      </w:r>
      <w:r>
        <w:rPr>
          <w:rFonts w:ascii="Gill Sans MT" w:eastAsia="Times New Roman" w:hAnsi="Gill Sans MT" w:cs="Times New Roman"/>
          <w:kern w:val="0"/>
          <w14:ligatures w14:val="none"/>
        </w:rPr>
        <w:t>makers</w:t>
      </w:r>
      <w:r w:rsidRPr="00AA11FD">
        <w:rPr>
          <w:rFonts w:ascii="Gill Sans MT" w:eastAsia="Times New Roman" w:hAnsi="Gill Sans MT" w:cs="Times New Roman"/>
          <w:kern w:val="0"/>
          <w14:ligatures w14:val="none"/>
        </w:rPr>
        <w:t xml:space="preserve"> when determining appropriate responses to breaches of</w:t>
      </w:r>
      <w:r>
        <w:rPr>
          <w:rFonts w:ascii="Gill Sans MT" w:eastAsia="Times New Roman" w:hAnsi="Gill Sans MT" w:cs="Times New Roman"/>
          <w:kern w:val="0"/>
          <w14:ligatures w14:val="none"/>
        </w:rPr>
        <w:t>/non-compliance with</w:t>
      </w:r>
      <w:r w:rsidRPr="00AA11FD">
        <w:rPr>
          <w:rFonts w:ascii="Gill Sans MT" w:eastAsia="Times New Roman" w:hAnsi="Gill Sans MT" w:cs="Times New Roman"/>
          <w:kern w:val="0"/>
          <w14:ligatures w14:val="none"/>
        </w:rPr>
        <w:t xml:space="preserve"> </w:t>
      </w:r>
      <w:r w:rsidR="004E0E2B">
        <w:rPr>
          <w:rFonts w:ascii="Gill Sans MT" w:eastAsia="Times New Roman" w:hAnsi="Gill Sans MT" w:cs="Times New Roman"/>
          <w:kern w:val="0"/>
          <w14:ligatures w14:val="none"/>
        </w:rPr>
        <w:t>C</w:t>
      </w:r>
      <w:r w:rsidR="004E0E2B" w:rsidRPr="00AA11FD">
        <w:rPr>
          <w:rFonts w:ascii="Gill Sans MT" w:eastAsia="Times New Roman" w:hAnsi="Gill Sans MT" w:cs="Times New Roman"/>
          <w:kern w:val="0"/>
          <w14:ligatures w14:val="none"/>
        </w:rPr>
        <w:t>onflict</w:t>
      </w:r>
      <w:r w:rsidR="004E0E2B">
        <w:rPr>
          <w:rFonts w:ascii="Gill Sans MT" w:eastAsia="Times New Roman" w:hAnsi="Gill Sans MT" w:cs="Times New Roman"/>
          <w:kern w:val="0"/>
          <w14:ligatures w14:val="none"/>
        </w:rPr>
        <w:t>-of-Interest</w:t>
      </w:r>
      <w:r w:rsidRPr="00AA11FD">
        <w:rPr>
          <w:rFonts w:ascii="Gill Sans MT" w:eastAsia="Times New Roman" w:hAnsi="Gill Sans MT" w:cs="Times New Roman"/>
          <w:kern w:val="0"/>
          <w14:ligatures w14:val="none"/>
        </w:rPr>
        <w:t xml:space="preserve"> policies or</w:t>
      </w:r>
      <w:r>
        <w:rPr>
          <w:rFonts w:ascii="Gill Sans MT" w:eastAsia="Times New Roman" w:hAnsi="Gill Sans MT" w:cs="Times New Roman"/>
          <w:kern w:val="0"/>
          <w14:ligatures w14:val="none"/>
        </w:rPr>
        <w:t xml:space="preserve"> in cases of actual, potential or perceived conflicts of interest</w:t>
      </w:r>
      <w:r w:rsidRPr="00AA11FD">
        <w:rPr>
          <w:rFonts w:ascii="Gill Sans MT" w:eastAsia="Times New Roman" w:hAnsi="Gill Sans MT" w:cs="Times New Roman"/>
          <w:kern w:val="0"/>
          <w14:ligatures w14:val="none"/>
        </w:rPr>
        <w:t xml:space="preserve"> </w:t>
      </w:r>
      <w:r>
        <w:rPr>
          <w:rFonts w:ascii="Gill Sans MT" w:eastAsia="Times New Roman" w:hAnsi="Gill Sans MT" w:cs="Times New Roman"/>
          <w:kern w:val="0"/>
          <w14:ligatures w14:val="none"/>
        </w:rPr>
        <w:t xml:space="preserve">including </w:t>
      </w:r>
      <w:r w:rsidRPr="00AA11FD">
        <w:rPr>
          <w:rFonts w:ascii="Gill Sans MT" w:eastAsia="Times New Roman" w:hAnsi="Gill Sans MT" w:cs="Times New Roman"/>
          <w:kern w:val="0"/>
          <w14:ligatures w14:val="none"/>
        </w:rPr>
        <w:t>engagement</w:t>
      </w:r>
      <w:r>
        <w:rPr>
          <w:rFonts w:ascii="Gill Sans MT" w:eastAsia="Times New Roman" w:hAnsi="Gill Sans MT" w:cs="Times New Roman"/>
          <w:kern w:val="0"/>
          <w14:ligatures w14:val="none"/>
        </w:rPr>
        <w:t>s</w:t>
      </w:r>
      <w:r w:rsidRPr="00AA11FD">
        <w:rPr>
          <w:rFonts w:ascii="Gill Sans MT" w:eastAsia="Times New Roman" w:hAnsi="Gill Sans MT" w:cs="Times New Roman"/>
          <w:kern w:val="0"/>
          <w14:ligatures w14:val="none"/>
        </w:rPr>
        <w:t xml:space="preserve"> with the tobacco industry.</w:t>
      </w:r>
    </w:p>
    <w:p w14:paraId="6A4CB439" w14:textId="25E26506" w:rsidR="00FE5F01" w:rsidRPr="00FE5F01" w:rsidRDefault="00000000" w:rsidP="00FE5F01">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43988686">
          <v:rect id="_x0000_i1026" alt="" style="width:468pt;height:.05pt;mso-width-percent:0;mso-height-percent:0;mso-width-percent:0;mso-height-percent:0" o:hralign="center" o:hrstd="t" o:hr="t" fillcolor="#a0a0a0" stroked="f"/>
        </w:pict>
      </w:r>
    </w:p>
    <w:p w14:paraId="18CEE704" w14:textId="752D6A1C" w:rsidR="00AA11FD" w:rsidRPr="00AA11FD" w:rsidRDefault="00AA11FD" w:rsidP="00AA11FD">
      <w:pPr>
        <w:spacing w:before="100" w:beforeAutospacing="1" w:after="100" w:afterAutospacing="1" w:line="240" w:lineRule="auto"/>
        <w:outlineLvl w:val="2"/>
        <w:rPr>
          <w:rFonts w:ascii="Gill Sans MT" w:eastAsia="Times New Roman" w:hAnsi="Gill Sans MT" w:cs="Times New Roman"/>
          <w:b/>
          <w:bCs/>
          <w:kern w:val="0"/>
          <w:sz w:val="27"/>
          <w:szCs w:val="27"/>
          <w14:ligatures w14:val="none"/>
        </w:rPr>
      </w:pPr>
      <w:r w:rsidRPr="00AA11FD">
        <w:rPr>
          <w:rFonts w:ascii="Gill Sans MT" w:eastAsia="Times New Roman" w:hAnsi="Gill Sans MT" w:cs="Times New Roman"/>
          <w:b/>
          <w:bCs/>
          <w:kern w:val="0"/>
          <w:sz w:val="27"/>
          <w:szCs w:val="27"/>
          <w14:ligatures w14:val="none"/>
        </w:rPr>
        <w:t>Levels of Severity</w:t>
      </w:r>
    </w:p>
    <w:p w14:paraId="548150CE" w14:textId="77777777" w:rsidR="00AA11FD" w:rsidRPr="00AA11FD" w:rsidRDefault="00AA11FD" w:rsidP="00AA11FD">
      <w:pPr>
        <w:spacing w:before="100" w:beforeAutospacing="1" w:after="100" w:afterAutospacing="1" w:line="240" w:lineRule="auto"/>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Violations are categorized by severity (Levels 1–4), based on the nature of the engagement, its intent, and its impact on policy, advocacy, or institutional integrity.</w:t>
      </w:r>
    </w:p>
    <w:tbl>
      <w:tblPr>
        <w:tblStyle w:val="TableGrid"/>
        <w:tblW w:w="9918" w:type="dxa"/>
        <w:tblLook w:val="04A0" w:firstRow="1" w:lastRow="0" w:firstColumn="1" w:lastColumn="0" w:noHBand="0" w:noVBand="1"/>
      </w:tblPr>
      <w:tblGrid>
        <w:gridCol w:w="816"/>
        <w:gridCol w:w="1193"/>
        <w:gridCol w:w="4507"/>
        <w:gridCol w:w="3402"/>
      </w:tblGrid>
      <w:tr w:rsidR="007C339A" w:rsidRPr="00AA11FD" w14:paraId="7237E000" w14:textId="77777777" w:rsidTr="00DD18DE">
        <w:tc>
          <w:tcPr>
            <w:tcW w:w="0" w:type="auto"/>
            <w:hideMark/>
          </w:tcPr>
          <w:p w14:paraId="2D6D90F7" w14:textId="77777777" w:rsidR="007C339A" w:rsidRPr="00AA11FD" w:rsidRDefault="007C339A" w:rsidP="007C339A">
            <w:pPr>
              <w:jc w:val="cente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Level</w:t>
            </w:r>
          </w:p>
        </w:tc>
        <w:tc>
          <w:tcPr>
            <w:tcW w:w="0" w:type="auto"/>
            <w:hideMark/>
          </w:tcPr>
          <w:p w14:paraId="5F5F1C09" w14:textId="77777777" w:rsidR="007C339A" w:rsidRPr="00AA11FD" w:rsidRDefault="007C339A" w:rsidP="007C339A">
            <w:pPr>
              <w:jc w:val="cente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Intensity</w:t>
            </w:r>
          </w:p>
        </w:tc>
        <w:tc>
          <w:tcPr>
            <w:tcW w:w="4507" w:type="dxa"/>
            <w:hideMark/>
          </w:tcPr>
          <w:p w14:paraId="5EC369F9" w14:textId="77777777" w:rsidR="007C339A" w:rsidRPr="00AA11FD" w:rsidRDefault="007C339A" w:rsidP="007C339A">
            <w:pPr>
              <w:jc w:val="cente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Example of Individual Actions</w:t>
            </w:r>
          </w:p>
        </w:tc>
        <w:tc>
          <w:tcPr>
            <w:tcW w:w="3402" w:type="dxa"/>
            <w:hideMark/>
          </w:tcPr>
          <w:p w14:paraId="09C55418" w14:textId="77777777" w:rsidR="007C339A" w:rsidRPr="00AA11FD" w:rsidRDefault="007C339A" w:rsidP="007C339A">
            <w:pPr>
              <w:jc w:val="cente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Sample Remedial Actions</w:t>
            </w:r>
          </w:p>
        </w:tc>
      </w:tr>
      <w:tr w:rsidR="007C339A" w:rsidRPr="00AA11FD" w14:paraId="7B7DE0C1" w14:textId="77777777" w:rsidTr="00DD18DE">
        <w:tc>
          <w:tcPr>
            <w:tcW w:w="0" w:type="auto"/>
            <w:hideMark/>
          </w:tcPr>
          <w:p w14:paraId="6499648C"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1</w:t>
            </w:r>
          </w:p>
        </w:tc>
        <w:tc>
          <w:tcPr>
            <w:tcW w:w="0" w:type="auto"/>
            <w:hideMark/>
          </w:tcPr>
          <w:p w14:paraId="6BB33522"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Low</w:t>
            </w:r>
          </w:p>
        </w:tc>
        <w:tc>
          <w:tcPr>
            <w:tcW w:w="4507" w:type="dxa"/>
            <w:hideMark/>
          </w:tcPr>
          <w:p w14:paraId="550A573B" w14:textId="6C37AA7C"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xml:space="preserve">Attendance at </w:t>
            </w:r>
            <w:r w:rsidR="008C6E6E">
              <w:rPr>
                <w:rFonts w:ascii="Gill Sans MT" w:eastAsia="Times New Roman" w:hAnsi="Gill Sans MT" w:cs="Times New Roman"/>
                <w:kern w:val="0"/>
                <w14:ligatures w14:val="none"/>
              </w:rPr>
              <w:t xml:space="preserve">tobacco </w:t>
            </w:r>
            <w:r w:rsidRPr="00AA11FD">
              <w:rPr>
                <w:rFonts w:ascii="Gill Sans MT" w:eastAsia="Times New Roman" w:hAnsi="Gill Sans MT" w:cs="Times New Roman"/>
                <w:kern w:val="0"/>
                <w14:ligatures w14:val="none"/>
              </w:rPr>
              <w:t>industry-sponsored events without direct influence on advocacy decisions.</w:t>
            </w:r>
            <w:r w:rsidR="00074CB4" w:rsidRPr="00AA11FD">
              <w:rPr>
                <w:rFonts w:ascii="Gill Sans MT" w:eastAsia="Times New Roman" w:hAnsi="Gill Sans MT" w:cs="Times New Roman"/>
                <w:kern w:val="0"/>
                <w14:ligatures w14:val="none"/>
              </w:rPr>
              <w:t xml:space="preserve"> </w:t>
            </w:r>
            <w:r w:rsidRPr="00AA11FD">
              <w:rPr>
                <w:rFonts w:ascii="Gill Sans MT" w:eastAsia="Times New Roman" w:hAnsi="Gill Sans MT" w:cs="Times New Roman"/>
                <w:kern w:val="0"/>
                <w14:ligatures w14:val="none"/>
              </w:rPr>
              <w:t>Receipt of nominal gifts or hospitality from tobacco industry representatives.</w:t>
            </w:r>
          </w:p>
        </w:tc>
        <w:tc>
          <w:tcPr>
            <w:tcW w:w="3402" w:type="dxa"/>
            <w:hideMark/>
          </w:tcPr>
          <w:p w14:paraId="0276EBDD"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Verbal warning or counseling.</w:t>
            </w:r>
          </w:p>
          <w:p w14:paraId="5F3312EA" w14:textId="5EEB3D00"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xml:space="preserve">- Training on </w:t>
            </w:r>
            <w:r w:rsidR="00074CB4" w:rsidRPr="00AA11FD">
              <w:rPr>
                <w:rFonts w:ascii="Gill Sans MT" w:eastAsia="Times New Roman" w:hAnsi="Gill Sans MT" w:cs="Times New Roman"/>
                <w:kern w:val="0"/>
                <w14:ligatures w14:val="none"/>
              </w:rPr>
              <w:t>conflict</w:t>
            </w:r>
            <w:r w:rsidR="00F11EB4">
              <w:rPr>
                <w:rFonts w:ascii="Gill Sans MT" w:eastAsia="Times New Roman" w:hAnsi="Gill Sans MT" w:cs="Times New Roman"/>
                <w:kern w:val="0"/>
                <w14:ligatures w14:val="none"/>
              </w:rPr>
              <w:t xml:space="preserve"> </w:t>
            </w:r>
            <w:r w:rsidR="00074CB4" w:rsidRPr="00AA11FD">
              <w:rPr>
                <w:rFonts w:ascii="Gill Sans MT" w:eastAsia="Times New Roman" w:hAnsi="Gill Sans MT" w:cs="Times New Roman"/>
                <w:kern w:val="0"/>
                <w14:ligatures w14:val="none"/>
              </w:rPr>
              <w:t>of</w:t>
            </w:r>
            <w:r w:rsidR="00F11EB4">
              <w:rPr>
                <w:rFonts w:ascii="Gill Sans MT" w:eastAsia="Times New Roman" w:hAnsi="Gill Sans MT" w:cs="Times New Roman"/>
                <w:kern w:val="0"/>
                <w14:ligatures w14:val="none"/>
              </w:rPr>
              <w:t xml:space="preserve"> </w:t>
            </w:r>
            <w:r w:rsidR="00074CB4" w:rsidRPr="00AA11FD">
              <w:rPr>
                <w:rFonts w:ascii="Gill Sans MT" w:eastAsia="Times New Roman" w:hAnsi="Gill Sans MT" w:cs="Times New Roman"/>
                <w:kern w:val="0"/>
                <w14:ligatures w14:val="none"/>
              </w:rPr>
              <w:t>interest</w:t>
            </w:r>
            <w:r w:rsidRPr="00AA11FD">
              <w:rPr>
                <w:rFonts w:ascii="Gill Sans MT" w:eastAsia="Times New Roman" w:hAnsi="Gill Sans MT" w:cs="Times New Roman"/>
                <w:kern w:val="0"/>
                <w14:ligatures w14:val="none"/>
              </w:rPr>
              <w:t xml:space="preserve"> policies.</w:t>
            </w:r>
          </w:p>
          <w:p w14:paraId="498096A3" w14:textId="651FB684"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Public disclosure of the conflict.</w:t>
            </w:r>
          </w:p>
          <w:p w14:paraId="08C15245" w14:textId="2177134F"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b/>
                <w:bCs/>
                <w:kern w:val="0"/>
                <w14:ligatures w14:val="none"/>
              </w:rPr>
              <w:t>Documentation of incident in organizational records.</w:t>
            </w:r>
          </w:p>
        </w:tc>
      </w:tr>
      <w:tr w:rsidR="007C339A" w:rsidRPr="00AA11FD" w14:paraId="76D2B7A3" w14:textId="77777777" w:rsidTr="00DD18DE">
        <w:tc>
          <w:tcPr>
            <w:tcW w:w="0" w:type="auto"/>
            <w:hideMark/>
          </w:tcPr>
          <w:p w14:paraId="27243517"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2</w:t>
            </w:r>
          </w:p>
        </w:tc>
        <w:tc>
          <w:tcPr>
            <w:tcW w:w="0" w:type="auto"/>
            <w:hideMark/>
          </w:tcPr>
          <w:p w14:paraId="33157944"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Moderate</w:t>
            </w:r>
          </w:p>
        </w:tc>
        <w:tc>
          <w:tcPr>
            <w:tcW w:w="4507" w:type="dxa"/>
            <w:hideMark/>
          </w:tcPr>
          <w:p w14:paraId="59D9EB3C" w14:textId="78C544BE"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Acceptance of significant funding or sponsorship from the tobacco industry for unrelated activities.</w:t>
            </w:r>
            <w:r w:rsidR="00074CB4" w:rsidRPr="00AA11FD">
              <w:rPr>
                <w:rFonts w:ascii="Gill Sans MT" w:eastAsia="Times New Roman" w:hAnsi="Gill Sans MT" w:cs="Times New Roman"/>
                <w:kern w:val="0"/>
                <w14:ligatures w14:val="none"/>
              </w:rPr>
              <w:t xml:space="preserve"> </w:t>
            </w:r>
            <w:r w:rsidRPr="00AA11FD">
              <w:rPr>
                <w:rFonts w:ascii="Gill Sans MT" w:eastAsia="Times New Roman" w:hAnsi="Gill Sans MT" w:cs="Times New Roman"/>
                <w:kern w:val="0"/>
                <w14:ligatures w14:val="none"/>
              </w:rPr>
              <w:t>Participation in industry-funded research projects.</w:t>
            </w:r>
            <w:r w:rsidR="00416A5C">
              <w:rPr>
                <w:rFonts w:ascii="Gill Sans MT" w:eastAsia="Times New Roman" w:hAnsi="Gill Sans MT" w:cs="Times New Roman"/>
                <w:kern w:val="0"/>
                <w14:ligatures w14:val="none"/>
              </w:rPr>
              <w:t xml:space="preserve"> </w:t>
            </w:r>
            <w:r w:rsidR="00416A5C">
              <w:rPr>
                <w:rStyle w:val="EndnoteReference"/>
                <w:rFonts w:ascii="Gill Sans MT" w:eastAsia="Times New Roman" w:hAnsi="Gill Sans MT" w:cs="Times New Roman"/>
                <w:kern w:val="0"/>
                <w14:ligatures w14:val="none"/>
              </w:rPr>
              <w:endnoteReference w:id="1"/>
            </w:r>
          </w:p>
        </w:tc>
        <w:tc>
          <w:tcPr>
            <w:tcW w:w="3402" w:type="dxa"/>
            <w:hideMark/>
          </w:tcPr>
          <w:p w14:paraId="28C73AB8"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Written warning or reprimand.</w:t>
            </w:r>
          </w:p>
          <w:p w14:paraId="0ABECB2D"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Recusal from specific activities related to the conflict.</w:t>
            </w:r>
          </w:p>
          <w:p w14:paraId="5309938E" w14:textId="08061004"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xml:space="preserve"> </w:t>
            </w:r>
            <w:r w:rsidR="009E15A6" w:rsidRPr="00AA11FD">
              <w:rPr>
                <w:rFonts w:ascii="Gill Sans MT" w:eastAsia="Times New Roman" w:hAnsi="Gill Sans MT" w:cs="Times New Roman"/>
                <w:kern w:val="0"/>
                <w14:ligatures w14:val="none"/>
              </w:rPr>
              <w:t>-</w:t>
            </w:r>
            <w:r w:rsidRPr="00AA11FD">
              <w:rPr>
                <w:rFonts w:ascii="Gill Sans MT" w:eastAsia="Times New Roman" w:hAnsi="Gill Sans MT" w:cs="Times New Roman"/>
                <w:kern w:val="0"/>
                <w14:ligatures w14:val="none"/>
              </w:rPr>
              <w:t>Public disclosure with commitment to mitigate impact.</w:t>
            </w:r>
          </w:p>
          <w:p w14:paraId="18224C38" w14:textId="75F2C684"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b/>
                <w:bCs/>
                <w:kern w:val="0"/>
                <w14:ligatures w14:val="none"/>
              </w:rPr>
              <w:t>Requirement to terminate funding relationship.</w:t>
            </w:r>
          </w:p>
        </w:tc>
      </w:tr>
      <w:tr w:rsidR="007C339A" w:rsidRPr="00AA11FD" w14:paraId="14E24AEE" w14:textId="77777777" w:rsidTr="00DD18DE">
        <w:tc>
          <w:tcPr>
            <w:tcW w:w="0" w:type="auto"/>
            <w:hideMark/>
          </w:tcPr>
          <w:p w14:paraId="0CDBEA5E"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lastRenderedPageBreak/>
              <w:t>3</w:t>
            </w:r>
          </w:p>
        </w:tc>
        <w:tc>
          <w:tcPr>
            <w:tcW w:w="0" w:type="auto"/>
            <w:hideMark/>
          </w:tcPr>
          <w:p w14:paraId="6BBADF41"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High</w:t>
            </w:r>
          </w:p>
        </w:tc>
        <w:tc>
          <w:tcPr>
            <w:tcW w:w="4507" w:type="dxa"/>
            <w:hideMark/>
          </w:tcPr>
          <w:p w14:paraId="7B13A8E9" w14:textId="2E77F380"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Direct employment or consultancy with tobacco industry entities.</w:t>
            </w:r>
            <w:r w:rsidR="00074CB4" w:rsidRPr="00AA11FD">
              <w:rPr>
                <w:rFonts w:ascii="Gill Sans MT" w:eastAsia="Times New Roman" w:hAnsi="Gill Sans MT" w:cs="Times New Roman"/>
                <w:kern w:val="0"/>
                <w14:ligatures w14:val="none"/>
              </w:rPr>
              <w:t xml:space="preserve"> </w:t>
            </w:r>
            <w:r w:rsidRPr="00AA11FD">
              <w:rPr>
                <w:rFonts w:ascii="Gill Sans MT" w:eastAsia="Times New Roman" w:hAnsi="Gill Sans MT" w:cs="Times New Roman"/>
                <w:kern w:val="0"/>
                <w14:ligatures w14:val="none"/>
              </w:rPr>
              <w:t>Acceptance of substantial grants or donations with strings attached from the tobacco industry</w:t>
            </w:r>
            <w:r w:rsidR="00074CB4" w:rsidRPr="00AA11FD">
              <w:rPr>
                <w:rFonts w:ascii="Gill Sans MT" w:eastAsia="Times New Roman" w:hAnsi="Gill Sans MT" w:cs="Times New Roman"/>
                <w:kern w:val="0"/>
                <w14:ligatures w14:val="none"/>
              </w:rPr>
              <w:t xml:space="preserve">. </w:t>
            </w:r>
            <w:r w:rsidRPr="00AA11FD">
              <w:rPr>
                <w:rFonts w:ascii="Gill Sans MT" w:eastAsia="Times New Roman" w:hAnsi="Gill Sans MT" w:cs="Times New Roman"/>
                <w:kern w:val="0"/>
                <w14:ligatures w14:val="none"/>
              </w:rPr>
              <w:t>Advocacy positions aligned with tobacco industry interests.</w:t>
            </w:r>
            <w:r w:rsidR="00A66E84">
              <w:rPr>
                <w:rStyle w:val="EndnoteReference"/>
                <w:rFonts w:ascii="Gill Sans MT" w:eastAsia="Times New Roman" w:hAnsi="Gill Sans MT" w:cs="Times New Roman"/>
                <w:kern w:val="0"/>
                <w14:ligatures w14:val="none"/>
              </w:rPr>
              <w:endnoteReference w:id="2"/>
            </w:r>
          </w:p>
        </w:tc>
        <w:tc>
          <w:tcPr>
            <w:tcW w:w="3402" w:type="dxa"/>
            <w:hideMark/>
          </w:tcPr>
          <w:p w14:paraId="14AAA44A"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Suspension of membership or affiliation.</w:t>
            </w:r>
          </w:p>
          <w:p w14:paraId="3563F866"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Public apology and acknowledgment of wrongdoing.</w:t>
            </w:r>
          </w:p>
          <w:p w14:paraId="6F4EE6D5"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Restitution or repayment of funds.</w:t>
            </w:r>
          </w:p>
          <w:p w14:paraId="09839381"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Referral to regulatory authorities.</w:t>
            </w:r>
          </w:p>
          <w:p w14:paraId="3C43ECDA" w14:textId="616C1CD5"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b/>
                <w:bCs/>
                <w:kern w:val="0"/>
                <w14:ligatures w14:val="none"/>
              </w:rPr>
              <w:t>Notification to all partner organizations of violation.</w:t>
            </w:r>
          </w:p>
        </w:tc>
      </w:tr>
      <w:tr w:rsidR="007C339A" w:rsidRPr="00AA11FD" w14:paraId="2C6D45FD" w14:textId="77777777" w:rsidTr="00DD18DE">
        <w:tc>
          <w:tcPr>
            <w:tcW w:w="0" w:type="auto"/>
            <w:hideMark/>
          </w:tcPr>
          <w:p w14:paraId="486136DF"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4</w:t>
            </w:r>
          </w:p>
        </w:tc>
        <w:tc>
          <w:tcPr>
            <w:tcW w:w="0" w:type="auto"/>
            <w:hideMark/>
          </w:tcPr>
          <w:p w14:paraId="5482DB82"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Critical</w:t>
            </w:r>
          </w:p>
        </w:tc>
        <w:tc>
          <w:tcPr>
            <w:tcW w:w="4507" w:type="dxa"/>
            <w:hideMark/>
          </w:tcPr>
          <w:p w14:paraId="012CA0F8" w14:textId="0066531A"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Systemic infiltration</w:t>
            </w:r>
            <w:r w:rsidR="00AE3127">
              <w:rPr>
                <w:rStyle w:val="EndnoteReference"/>
                <w:rFonts w:ascii="Gill Sans MT" w:eastAsia="Times New Roman" w:hAnsi="Gill Sans MT" w:cs="Times New Roman"/>
                <w:kern w:val="0"/>
                <w14:ligatures w14:val="none"/>
              </w:rPr>
              <w:endnoteReference w:id="3"/>
            </w:r>
            <w:r w:rsidRPr="00AA11FD">
              <w:rPr>
                <w:rFonts w:ascii="Gill Sans MT" w:eastAsia="Times New Roman" w:hAnsi="Gill Sans MT" w:cs="Times New Roman"/>
                <w:kern w:val="0"/>
                <w14:ligatures w14:val="none"/>
              </w:rPr>
              <w:t xml:space="preserve"> or subversion of advocacy organizations by tobacco industry actors.</w:t>
            </w:r>
          </w:p>
          <w:p w14:paraId="43CA5186"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Sabotage or undermining of tobacco control initiatives.</w:t>
            </w:r>
          </w:p>
          <w:p w14:paraId="14DBBEF2" w14:textId="56FE8B25" w:rsidR="00074CB4" w:rsidRPr="00AA11FD" w:rsidRDefault="007C339A" w:rsidP="007C339A">
            <w:pP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Serving as industry informant while in tobacco control role.</w:t>
            </w:r>
          </w:p>
          <w:p w14:paraId="3B2BE38B" w14:textId="1E97094B"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b/>
                <w:bCs/>
                <w:kern w:val="0"/>
                <w14:ligatures w14:val="none"/>
              </w:rPr>
              <w:t>Deliberately concealing direct tobacco industry funding.</w:t>
            </w:r>
          </w:p>
        </w:tc>
        <w:tc>
          <w:tcPr>
            <w:tcW w:w="3402" w:type="dxa"/>
            <w:hideMark/>
          </w:tcPr>
          <w:p w14:paraId="7C3003B8"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Expulsion from movement.</w:t>
            </w:r>
          </w:p>
          <w:p w14:paraId="425BD4D1"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Legal action where applicable.</w:t>
            </w:r>
          </w:p>
          <w:p w14:paraId="07617A22"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Implementation of systemic reforms.</w:t>
            </w:r>
          </w:p>
          <w:p w14:paraId="5F7E5175"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Other measures to counteract industry interference.</w:t>
            </w:r>
          </w:p>
          <w:p w14:paraId="4A4199FC" w14:textId="3D934D6E" w:rsidR="00074CB4" w:rsidRPr="00AA11FD" w:rsidRDefault="007C339A" w:rsidP="007C339A">
            <w:pP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Permanent ban from future engagement.</w:t>
            </w:r>
          </w:p>
          <w:p w14:paraId="1DC512C1" w14:textId="5C8A0DC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b/>
                <w:bCs/>
                <w:kern w:val="0"/>
                <w14:ligatures w14:val="none"/>
              </w:rPr>
              <w:t>Public disclosure with comprehensive details.</w:t>
            </w:r>
          </w:p>
        </w:tc>
      </w:tr>
    </w:tbl>
    <w:p w14:paraId="5D71818D" w14:textId="12F5428A" w:rsidR="00766307" w:rsidRDefault="007C339A" w:rsidP="00306424">
      <w:pPr>
        <w:spacing w:before="100" w:beforeAutospacing="1" w:after="100" w:afterAutospacing="1" w:line="240" w:lineRule="auto"/>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 xml:space="preserve">Any engagement that leads to or is associated with public policy influence should be automatically considered </w:t>
      </w:r>
      <w:r w:rsidR="00E041E7">
        <w:rPr>
          <w:rFonts w:ascii="Gill Sans MT" w:eastAsia="Times New Roman" w:hAnsi="Gill Sans MT" w:cs="Times New Roman"/>
          <w:b/>
          <w:bCs/>
          <w:kern w:val="0"/>
          <w14:ligatures w14:val="none"/>
        </w:rPr>
        <w:t xml:space="preserve">of </w:t>
      </w:r>
      <w:r w:rsidRPr="00AA11FD">
        <w:rPr>
          <w:rFonts w:ascii="Gill Sans MT" w:eastAsia="Times New Roman" w:hAnsi="Gill Sans MT" w:cs="Times New Roman"/>
          <w:b/>
          <w:bCs/>
          <w:kern w:val="0"/>
          <w14:ligatures w14:val="none"/>
        </w:rPr>
        <w:t>High or Critical Intensity.</w:t>
      </w:r>
    </w:p>
    <w:p w14:paraId="265C4495" w14:textId="77777777" w:rsidR="00FF6C32" w:rsidRPr="00306424" w:rsidRDefault="00FF6C32" w:rsidP="00306424">
      <w:pPr>
        <w:spacing w:before="100" w:beforeAutospacing="1" w:after="100" w:afterAutospacing="1" w:line="240" w:lineRule="auto"/>
        <w:rPr>
          <w:rFonts w:ascii="Gill Sans MT" w:eastAsia="Times New Roman" w:hAnsi="Gill Sans MT" w:cs="Times New Roman"/>
          <w:kern w:val="0"/>
          <w14:ligatures w14:val="none"/>
        </w:rPr>
      </w:pPr>
    </w:p>
    <w:p w14:paraId="0C2673FF" w14:textId="57CC8E07" w:rsidR="007C339A" w:rsidRPr="00AA11FD" w:rsidRDefault="007C339A" w:rsidP="007C339A">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AA11FD">
        <w:rPr>
          <w:rFonts w:ascii="Gill Sans MT" w:eastAsia="Times New Roman" w:hAnsi="Gill Sans MT" w:cs="Times New Roman"/>
          <w:b/>
          <w:bCs/>
          <w:kern w:val="0"/>
          <w:sz w:val="36"/>
          <w:szCs w:val="36"/>
          <w14:ligatures w14:val="none"/>
        </w:rPr>
        <w:t>Organizational Actions</w:t>
      </w:r>
    </w:p>
    <w:tbl>
      <w:tblPr>
        <w:tblStyle w:val="TableGrid"/>
        <w:tblW w:w="0" w:type="auto"/>
        <w:tblLook w:val="04A0" w:firstRow="1" w:lastRow="0" w:firstColumn="1" w:lastColumn="0" w:noHBand="0" w:noVBand="1"/>
      </w:tblPr>
      <w:tblGrid>
        <w:gridCol w:w="816"/>
        <w:gridCol w:w="1193"/>
        <w:gridCol w:w="3605"/>
        <w:gridCol w:w="3736"/>
      </w:tblGrid>
      <w:tr w:rsidR="007C339A" w:rsidRPr="00AA11FD" w14:paraId="496F31A6" w14:textId="77777777" w:rsidTr="00F05554">
        <w:tc>
          <w:tcPr>
            <w:tcW w:w="0" w:type="auto"/>
            <w:hideMark/>
          </w:tcPr>
          <w:p w14:paraId="3A3CC066" w14:textId="77777777" w:rsidR="007C339A" w:rsidRPr="00AA11FD" w:rsidRDefault="007C339A" w:rsidP="007C339A">
            <w:pPr>
              <w:jc w:val="cente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Level</w:t>
            </w:r>
          </w:p>
        </w:tc>
        <w:tc>
          <w:tcPr>
            <w:tcW w:w="0" w:type="auto"/>
            <w:hideMark/>
          </w:tcPr>
          <w:p w14:paraId="47ADDCD3" w14:textId="77777777" w:rsidR="007C339A" w:rsidRPr="00AA11FD" w:rsidRDefault="007C339A" w:rsidP="007C339A">
            <w:pPr>
              <w:jc w:val="cente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Intensity</w:t>
            </w:r>
          </w:p>
        </w:tc>
        <w:tc>
          <w:tcPr>
            <w:tcW w:w="0" w:type="auto"/>
            <w:hideMark/>
          </w:tcPr>
          <w:p w14:paraId="73FD6756" w14:textId="77777777" w:rsidR="007C339A" w:rsidRPr="00AA11FD" w:rsidRDefault="007C339A" w:rsidP="007C339A">
            <w:pPr>
              <w:jc w:val="cente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Organizational Actions</w:t>
            </w:r>
          </w:p>
        </w:tc>
        <w:tc>
          <w:tcPr>
            <w:tcW w:w="0" w:type="auto"/>
            <w:hideMark/>
          </w:tcPr>
          <w:p w14:paraId="5B724288" w14:textId="77777777" w:rsidR="007C339A" w:rsidRPr="00AA11FD" w:rsidRDefault="007C339A" w:rsidP="007C339A">
            <w:pPr>
              <w:jc w:val="cente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Remedial Actions</w:t>
            </w:r>
          </w:p>
        </w:tc>
      </w:tr>
      <w:tr w:rsidR="007C339A" w:rsidRPr="00AA11FD" w14:paraId="210FF8D2" w14:textId="77777777" w:rsidTr="00F05554">
        <w:tc>
          <w:tcPr>
            <w:tcW w:w="0" w:type="auto"/>
            <w:hideMark/>
          </w:tcPr>
          <w:p w14:paraId="49D089C4"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1</w:t>
            </w:r>
          </w:p>
        </w:tc>
        <w:tc>
          <w:tcPr>
            <w:tcW w:w="0" w:type="auto"/>
            <w:hideMark/>
          </w:tcPr>
          <w:p w14:paraId="60420396"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Low</w:t>
            </w:r>
          </w:p>
        </w:tc>
        <w:tc>
          <w:tcPr>
            <w:tcW w:w="0" w:type="auto"/>
            <w:hideMark/>
          </w:tcPr>
          <w:p w14:paraId="5F907419" w14:textId="1A0E9576"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Failure to establish adequate conflict of interest policies or disclosure mechanisms.</w:t>
            </w:r>
            <w:r w:rsidR="00074CB4" w:rsidRPr="00AA11FD">
              <w:rPr>
                <w:rFonts w:ascii="Gill Sans MT" w:eastAsia="Times New Roman" w:hAnsi="Gill Sans MT" w:cs="Times New Roman"/>
                <w:kern w:val="0"/>
                <w14:ligatures w14:val="none"/>
              </w:rPr>
              <w:t xml:space="preserve"> </w:t>
            </w:r>
            <w:r w:rsidRPr="00AA11FD">
              <w:rPr>
                <w:rFonts w:ascii="Gill Sans MT" w:eastAsia="Times New Roman" w:hAnsi="Gill Sans MT" w:cs="Times New Roman"/>
                <w:kern w:val="0"/>
                <w14:ligatures w14:val="none"/>
              </w:rPr>
              <w:t>Tolerance of minor conflicts of interest among members.</w:t>
            </w:r>
          </w:p>
        </w:tc>
        <w:tc>
          <w:tcPr>
            <w:tcW w:w="0" w:type="auto"/>
            <w:hideMark/>
          </w:tcPr>
          <w:p w14:paraId="398192CB" w14:textId="203DC618"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xml:space="preserve">- Implementation or enhancement of </w:t>
            </w:r>
            <w:r w:rsidR="00074CB4" w:rsidRPr="00AA11FD">
              <w:rPr>
                <w:rFonts w:ascii="Gill Sans MT" w:eastAsia="Times New Roman" w:hAnsi="Gill Sans MT" w:cs="Times New Roman"/>
                <w:kern w:val="0"/>
                <w14:ligatures w14:val="none"/>
              </w:rPr>
              <w:t>conflict-of-interest</w:t>
            </w:r>
            <w:r w:rsidRPr="00AA11FD">
              <w:rPr>
                <w:rFonts w:ascii="Gill Sans MT" w:eastAsia="Times New Roman" w:hAnsi="Gill Sans MT" w:cs="Times New Roman"/>
                <w:kern w:val="0"/>
                <w14:ligatures w14:val="none"/>
              </w:rPr>
              <w:t xml:space="preserve"> policies and procedures.</w:t>
            </w:r>
          </w:p>
          <w:p w14:paraId="44F3755B"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Training and education for members on identifying and disclosing conflicts of interest.</w:t>
            </w:r>
          </w:p>
          <w:p w14:paraId="2185A7CC"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Public commitment to transparency and accountability in managing conflicts of interest.</w:t>
            </w:r>
          </w:p>
          <w:p w14:paraId="43C2BE6B" w14:textId="7FD29F73" w:rsidR="007C339A" w:rsidRPr="00AA11FD" w:rsidRDefault="007C339A" w:rsidP="007C339A">
            <w:pPr>
              <w:rPr>
                <w:rFonts w:ascii="Gill Sans MT" w:eastAsia="Times New Roman" w:hAnsi="Gill Sans MT" w:cs="Times New Roman"/>
                <w:kern w:val="0"/>
                <w14:ligatures w14:val="none"/>
              </w:rPr>
            </w:pPr>
            <w:r w:rsidRPr="00FD7807">
              <w:rPr>
                <w:rFonts w:ascii="Gill Sans MT" w:eastAsia="Times New Roman" w:hAnsi="Gill Sans MT" w:cs="Times New Roman"/>
                <w:b/>
                <w:bCs/>
                <w:kern w:val="0"/>
                <w14:ligatures w14:val="none"/>
              </w:rPr>
              <w:t>Re</w:t>
            </w:r>
            <w:r w:rsidRPr="00AA11FD">
              <w:rPr>
                <w:rFonts w:ascii="Gill Sans MT" w:eastAsia="Times New Roman" w:hAnsi="Gill Sans MT" w:cs="Times New Roman"/>
                <w:b/>
                <w:bCs/>
                <w:kern w:val="0"/>
                <w14:ligatures w14:val="none"/>
              </w:rPr>
              <w:t>quirement to adopt model COI policy within specified timeframe.</w:t>
            </w:r>
          </w:p>
        </w:tc>
      </w:tr>
      <w:tr w:rsidR="007C339A" w:rsidRPr="00AA11FD" w14:paraId="57923E61" w14:textId="77777777" w:rsidTr="00F05554">
        <w:tc>
          <w:tcPr>
            <w:tcW w:w="0" w:type="auto"/>
            <w:hideMark/>
          </w:tcPr>
          <w:p w14:paraId="7CC963FB"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2</w:t>
            </w:r>
          </w:p>
        </w:tc>
        <w:tc>
          <w:tcPr>
            <w:tcW w:w="0" w:type="auto"/>
            <w:hideMark/>
          </w:tcPr>
          <w:p w14:paraId="550D9044"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Moderate</w:t>
            </w:r>
          </w:p>
        </w:tc>
        <w:tc>
          <w:tcPr>
            <w:tcW w:w="0" w:type="auto"/>
            <w:hideMark/>
          </w:tcPr>
          <w:p w14:paraId="046452C1" w14:textId="77FFCEFE"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Acceptance of funding or support from the tobacco industry for certain activities.</w:t>
            </w:r>
            <w:r w:rsidR="00074CB4" w:rsidRPr="00AA11FD">
              <w:rPr>
                <w:rFonts w:ascii="Gill Sans MT" w:eastAsia="Times New Roman" w:hAnsi="Gill Sans MT" w:cs="Times New Roman"/>
                <w:kern w:val="0"/>
                <w14:ligatures w14:val="none"/>
              </w:rPr>
              <w:t xml:space="preserve"> </w:t>
            </w:r>
            <w:r w:rsidRPr="00AA11FD">
              <w:rPr>
                <w:rFonts w:ascii="Gill Sans MT" w:eastAsia="Times New Roman" w:hAnsi="Gill Sans MT" w:cs="Times New Roman"/>
                <w:kern w:val="0"/>
                <w14:ligatures w14:val="none"/>
              </w:rPr>
              <w:t xml:space="preserve">Lack of oversight </w:t>
            </w:r>
            <w:r w:rsidRPr="00AA11FD">
              <w:rPr>
                <w:rFonts w:ascii="Gill Sans MT" w:eastAsia="Times New Roman" w:hAnsi="Gill Sans MT" w:cs="Times New Roman"/>
                <w:kern w:val="0"/>
                <w14:ligatures w14:val="none"/>
              </w:rPr>
              <w:lastRenderedPageBreak/>
              <w:t xml:space="preserve">or enforcement of </w:t>
            </w:r>
            <w:r w:rsidR="00074CB4" w:rsidRPr="00AA11FD">
              <w:rPr>
                <w:rFonts w:ascii="Gill Sans MT" w:eastAsia="Times New Roman" w:hAnsi="Gill Sans MT" w:cs="Times New Roman"/>
                <w:kern w:val="0"/>
                <w14:ligatures w14:val="none"/>
              </w:rPr>
              <w:t>conflict</w:t>
            </w:r>
            <w:r w:rsidR="00F11EB4">
              <w:rPr>
                <w:rFonts w:ascii="Gill Sans MT" w:eastAsia="Times New Roman" w:hAnsi="Gill Sans MT" w:cs="Times New Roman"/>
                <w:kern w:val="0"/>
                <w14:ligatures w14:val="none"/>
              </w:rPr>
              <w:t xml:space="preserve"> </w:t>
            </w:r>
            <w:r w:rsidR="00074CB4" w:rsidRPr="00AA11FD">
              <w:rPr>
                <w:rFonts w:ascii="Gill Sans MT" w:eastAsia="Times New Roman" w:hAnsi="Gill Sans MT" w:cs="Times New Roman"/>
                <w:kern w:val="0"/>
                <w14:ligatures w14:val="none"/>
              </w:rPr>
              <w:t>of</w:t>
            </w:r>
            <w:r w:rsidR="00F11EB4">
              <w:rPr>
                <w:rFonts w:ascii="Gill Sans MT" w:eastAsia="Times New Roman" w:hAnsi="Gill Sans MT" w:cs="Times New Roman"/>
                <w:kern w:val="0"/>
                <w14:ligatures w14:val="none"/>
              </w:rPr>
              <w:t xml:space="preserve"> </w:t>
            </w:r>
            <w:r w:rsidR="00074CB4" w:rsidRPr="00AA11FD">
              <w:rPr>
                <w:rFonts w:ascii="Gill Sans MT" w:eastAsia="Times New Roman" w:hAnsi="Gill Sans MT" w:cs="Times New Roman"/>
                <w:kern w:val="0"/>
                <w14:ligatures w14:val="none"/>
              </w:rPr>
              <w:t>interest</w:t>
            </w:r>
            <w:r w:rsidRPr="00AA11FD">
              <w:rPr>
                <w:rFonts w:ascii="Gill Sans MT" w:eastAsia="Times New Roman" w:hAnsi="Gill Sans MT" w:cs="Times New Roman"/>
                <w:kern w:val="0"/>
                <w14:ligatures w14:val="none"/>
              </w:rPr>
              <w:t xml:space="preserve"> policies.</w:t>
            </w:r>
          </w:p>
        </w:tc>
        <w:tc>
          <w:tcPr>
            <w:tcW w:w="0" w:type="auto"/>
            <w:hideMark/>
          </w:tcPr>
          <w:p w14:paraId="6701B970"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lastRenderedPageBreak/>
              <w:t>- Review and revision of funding and partnership criteria to exclude tobacco industry involvement.</w:t>
            </w:r>
          </w:p>
          <w:p w14:paraId="4822AB03"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lastRenderedPageBreak/>
              <w:t>- Establishment of an independent ethics committee or oversight body to monitor and address conflicts of interest.</w:t>
            </w:r>
          </w:p>
          <w:p w14:paraId="1DE2B384" w14:textId="77777777" w:rsidR="009E15A6" w:rsidRPr="00AA11FD" w:rsidRDefault="007C339A" w:rsidP="007C339A">
            <w:pPr>
              <w:rPr>
                <w:rFonts w:ascii="Gill Sans MT" w:eastAsia="Times New Roman" w:hAnsi="Gill Sans MT" w:cs="Times New Roman"/>
                <w:b/>
                <w:bCs/>
                <w:kern w:val="0"/>
                <w14:ligatures w14:val="none"/>
              </w:rPr>
            </w:pPr>
            <w:r w:rsidRPr="00AA11FD">
              <w:rPr>
                <w:rFonts w:ascii="Gill Sans MT" w:eastAsia="Times New Roman" w:hAnsi="Gill Sans MT" w:cs="Times New Roman"/>
                <w:kern w:val="0"/>
                <w14:ligatures w14:val="none"/>
              </w:rPr>
              <w:t>- Public disclosure of past and present relationships with the tobacco industry, along with corrective measures to mitigate their impact.</w:t>
            </w:r>
            <w:r w:rsidRPr="00AA11FD">
              <w:rPr>
                <w:rFonts w:ascii="Gill Sans MT" w:eastAsia="Times New Roman" w:hAnsi="Gill Sans MT" w:cs="Times New Roman"/>
                <w:b/>
                <w:bCs/>
                <w:kern w:val="0"/>
                <w14:ligatures w14:val="none"/>
              </w:rPr>
              <w:t xml:space="preserve"> </w:t>
            </w:r>
          </w:p>
          <w:p w14:paraId="17C7659F" w14:textId="6BA11655"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b/>
                <w:bCs/>
                <w:kern w:val="0"/>
                <w14:ligatures w14:val="none"/>
              </w:rPr>
              <w:t>External verification of all funding sources.</w:t>
            </w:r>
          </w:p>
        </w:tc>
      </w:tr>
      <w:tr w:rsidR="007C339A" w:rsidRPr="00AA11FD" w14:paraId="383E3FCE" w14:textId="77777777" w:rsidTr="00F05554">
        <w:tc>
          <w:tcPr>
            <w:tcW w:w="0" w:type="auto"/>
            <w:hideMark/>
          </w:tcPr>
          <w:p w14:paraId="2070033B"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lastRenderedPageBreak/>
              <w:t>3</w:t>
            </w:r>
          </w:p>
        </w:tc>
        <w:tc>
          <w:tcPr>
            <w:tcW w:w="0" w:type="auto"/>
            <w:hideMark/>
          </w:tcPr>
          <w:p w14:paraId="0438A8CF"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High</w:t>
            </w:r>
          </w:p>
        </w:tc>
        <w:tc>
          <w:tcPr>
            <w:tcW w:w="0" w:type="auto"/>
            <w:hideMark/>
          </w:tcPr>
          <w:p w14:paraId="0CB0AD6C" w14:textId="035504A9"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Direct collaboration or alignment with tobacco industry interests in advocacy or policy positions.</w:t>
            </w:r>
            <w:r w:rsidR="00074CB4" w:rsidRPr="00AA11FD">
              <w:rPr>
                <w:rFonts w:ascii="Gill Sans MT" w:eastAsia="Times New Roman" w:hAnsi="Gill Sans MT" w:cs="Times New Roman"/>
                <w:kern w:val="0"/>
                <w14:ligatures w14:val="none"/>
              </w:rPr>
              <w:t xml:space="preserve"> </w:t>
            </w:r>
            <w:r w:rsidRPr="00AA11FD">
              <w:rPr>
                <w:rFonts w:ascii="Gill Sans MT" w:eastAsia="Times New Roman" w:hAnsi="Gill Sans MT" w:cs="Times New Roman"/>
                <w:kern w:val="0"/>
                <w14:ligatures w14:val="none"/>
              </w:rPr>
              <w:t>Failure to address or remediate conflicts of interest despite awareness.</w:t>
            </w:r>
          </w:p>
        </w:tc>
        <w:tc>
          <w:tcPr>
            <w:tcW w:w="0" w:type="auto"/>
            <w:hideMark/>
          </w:tcPr>
          <w:p w14:paraId="6888B8A3"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Suspension or termination of organizational memberships or affiliations with tobacco control coalitions or networks.</w:t>
            </w:r>
          </w:p>
          <w:p w14:paraId="4D301034"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Public apology, full disclosure of industry links and correspondences, and commitment to restructuring organizational governance and practices to prevent future conflicts of interest.</w:t>
            </w:r>
          </w:p>
          <w:p w14:paraId="70F9BFC1" w14:textId="4DD91543"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Independent audit or review of organizational activities and relationships to identify and rectify instances of industry influence.</w:t>
            </w:r>
            <w:r w:rsidRPr="00AA11FD">
              <w:rPr>
                <w:rFonts w:ascii="Gill Sans MT" w:eastAsia="Times New Roman" w:hAnsi="Gill Sans MT" w:cs="Times New Roman"/>
                <w:b/>
                <w:bCs/>
                <w:kern w:val="0"/>
                <w14:ligatures w14:val="none"/>
              </w:rPr>
              <w:t xml:space="preserve"> </w:t>
            </w:r>
            <w:r w:rsidRPr="009D03D9">
              <w:rPr>
                <w:rFonts w:ascii="Gill Sans MT" w:eastAsia="Times New Roman" w:hAnsi="Gill Sans MT" w:cs="Times New Roman"/>
                <w:b/>
                <w:bCs/>
                <w:kern w:val="0"/>
                <w14:ligatures w14:val="none"/>
              </w:rPr>
              <w:t>No</w:t>
            </w:r>
            <w:r w:rsidRPr="004E4BB0">
              <w:rPr>
                <w:rFonts w:ascii="Gill Sans MT" w:eastAsia="Times New Roman" w:hAnsi="Gill Sans MT" w:cs="Times New Roman"/>
                <w:b/>
                <w:bCs/>
                <w:kern w:val="0"/>
                <w14:ligatures w14:val="none"/>
              </w:rPr>
              <w:t>tific</w:t>
            </w:r>
            <w:r w:rsidRPr="00AA11FD">
              <w:rPr>
                <w:rFonts w:ascii="Gill Sans MT" w:eastAsia="Times New Roman" w:hAnsi="Gill Sans MT" w:cs="Times New Roman"/>
                <w:b/>
                <w:bCs/>
                <w:kern w:val="0"/>
                <w14:ligatures w14:val="none"/>
              </w:rPr>
              <w:t>ation to all funding partners and stakeholders.</w:t>
            </w:r>
          </w:p>
        </w:tc>
      </w:tr>
      <w:tr w:rsidR="007C339A" w:rsidRPr="00AA11FD" w14:paraId="20A8C55D" w14:textId="77777777" w:rsidTr="00F05554">
        <w:tc>
          <w:tcPr>
            <w:tcW w:w="0" w:type="auto"/>
            <w:hideMark/>
          </w:tcPr>
          <w:p w14:paraId="4722A2DE"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4</w:t>
            </w:r>
          </w:p>
        </w:tc>
        <w:tc>
          <w:tcPr>
            <w:tcW w:w="0" w:type="auto"/>
            <w:hideMark/>
          </w:tcPr>
          <w:p w14:paraId="16CF011B" w14:textId="77777777"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Critical</w:t>
            </w:r>
          </w:p>
        </w:tc>
        <w:tc>
          <w:tcPr>
            <w:tcW w:w="0" w:type="auto"/>
            <w:hideMark/>
          </w:tcPr>
          <w:p w14:paraId="617D2DA4"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Systemic infiltration or manipulation by tobacco industry actors to undermine tobacco control efforts.</w:t>
            </w:r>
            <w:r w:rsidR="00074CB4" w:rsidRPr="00AA11FD">
              <w:rPr>
                <w:rFonts w:ascii="Gill Sans MT" w:eastAsia="Times New Roman" w:hAnsi="Gill Sans MT" w:cs="Times New Roman"/>
                <w:kern w:val="0"/>
                <w14:ligatures w14:val="none"/>
              </w:rPr>
              <w:t xml:space="preserve"> </w:t>
            </w:r>
            <w:r w:rsidRPr="00AA11FD">
              <w:rPr>
                <w:rFonts w:ascii="Gill Sans MT" w:eastAsia="Times New Roman" w:hAnsi="Gill Sans MT" w:cs="Times New Roman"/>
                <w:kern w:val="0"/>
                <w14:ligatures w14:val="none"/>
              </w:rPr>
              <w:t>Complicity in industry-led efforts to weaken or obstruct tobacco control policies.</w:t>
            </w:r>
          </w:p>
          <w:p w14:paraId="7C40C89B" w14:textId="4EF8FD76" w:rsidR="007C339A" w:rsidRDefault="007C339A" w:rsidP="007C339A">
            <w:pP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Serving as front group or conduit for industry messaging.</w:t>
            </w:r>
            <w:r w:rsidR="00815313">
              <w:rPr>
                <w:rFonts w:ascii="Gill Sans MT" w:eastAsia="Times New Roman" w:hAnsi="Gill Sans MT" w:cs="Times New Roman"/>
                <w:b/>
                <w:bCs/>
                <w:kern w:val="0"/>
                <w14:ligatures w14:val="none"/>
              </w:rPr>
              <w:t xml:space="preserve"> </w:t>
            </w:r>
            <w:r w:rsidR="00815313">
              <w:rPr>
                <w:rStyle w:val="EndnoteReference"/>
                <w:rFonts w:ascii="Gill Sans MT" w:eastAsia="Times New Roman" w:hAnsi="Gill Sans MT" w:cs="Times New Roman"/>
                <w:b/>
                <w:bCs/>
                <w:kern w:val="0"/>
                <w14:ligatures w14:val="none"/>
              </w:rPr>
              <w:endnoteReference w:id="4"/>
            </w:r>
          </w:p>
          <w:p w14:paraId="1E6A3636" w14:textId="2E276761" w:rsidR="00306424" w:rsidRPr="00306424" w:rsidRDefault="00306424" w:rsidP="007C339A">
            <w:pPr>
              <w:rPr>
                <w:rFonts w:ascii="Gill Sans MT" w:eastAsia="Times New Roman" w:hAnsi="Gill Sans MT" w:cs="Times New Roman"/>
                <w:b/>
                <w:bCs/>
                <w:kern w:val="0"/>
                <w14:ligatures w14:val="none"/>
              </w:rPr>
            </w:pPr>
            <w:r w:rsidRPr="00306424">
              <w:rPr>
                <w:rFonts w:ascii="Gill Sans MT" w:eastAsia="Times New Roman" w:hAnsi="Gill Sans MT" w:cs="Times New Roman"/>
                <w:b/>
                <w:bCs/>
                <w:kern w:val="0"/>
                <w14:ligatures w14:val="none"/>
              </w:rPr>
              <w:t>Combination of Level 3 situations with Level 1-2 situations, including failure to disclose</w:t>
            </w:r>
          </w:p>
        </w:tc>
        <w:tc>
          <w:tcPr>
            <w:tcW w:w="0" w:type="auto"/>
            <w:hideMark/>
          </w:tcPr>
          <w:p w14:paraId="6D4E4AC2"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Dissolution or disbandment of the organization if irreparable harm to tobacco control objectives is determined.</w:t>
            </w:r>
          </w:p>
          <w:p w14:paraId="31720FCC"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Legal action and pursuit of civil or criminal penalties against responsible individuals or entities.</w:t>
            </w:r>
          </w:p>
          <w:p w14:paraId="718F28EA" w14:textId="77777777" w:rsidR="00074CB4"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 Collaboration with international bodies and other stakeholders to expose and counteract industry interference at a global level.</w:t>
            </w:r>
          </w:p>
          <w:p w14:paraId="6467728A" w14:textId="77777777" w:rsidR="00074CB4" w:rsidRPr="00AA11FD" w:rsidRDefault="007C339A" w:rsidP="007C339A">
            <w:pPr>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Public warning to all tobacco control stakeholders.</w:t>
            </w:r>
          </w:p>
          <w:p w14:paraId="6BAE8171" w14:textId="6FA21034" w:rsidR="007C339A" w:rsidRPr="00AA11FD" w:rsidRDefault="007C339A" w:rsidP="007C339A">
            <w:pPr>
              <w:rPr>
                <w:rFonts w:ascii="Gill Sans MT" w:eastAsia="Times New Roman" w:hAnsi="Gill Sans MT" w:cs="Times New Roman"/>
                <w:kern w:val="0"/>
                <w14:ligatures w14:val="none"/>
              </w:rPr>
            </w:pPr>
            <w:r w:rsidRPr="00AA11FD">
              <w:rPr>
                <w:rFonts w:ascii="Gill Sans MT" w:eastAsia="Times New Roman" w:hAnsi="Gill Sans MT" w:cs="Times New Roman"/>
                <w:b/>
                <w:bCs/>
                <w:kern w:val="0"/>
                <w14:ligatures w14:val="none"/>
              </w:rPr>
              <w:t>Comprehensive documentation of case for educational purposes.</w:t>
            </w:r>
          </w:p>
        </w:tc>
      </w:tr>
    </w:tbl>
    <w:p w14:paraId="05A83743" w14:textId="21996F05" w:rsidR="007C339A" w:rsidRPr="00AA11FD" w:rsidRDefault="007C339A" w:rsidP="007C339A">
      <w:pPr>
        <w:spacing w:before="100" w:beforeAutospacing="1" w:after="100" w:afterAutospacing="1" w:line="240" w:lineRule="auto"/>
        <w:rPr>
          <w:rFonts w:ascii="Gill Sans MT" w:eastAsia="Times New Roman" w:hAnsi="Gill Sans MT" w:cs="Times New Roman"/>
          <w:kern w:val="0"/>
          <w14:ligatures w14:val="none"/>
        </w:rPr>
      </w:pPr>
      <w:r w:rsidRPr="00AA11FD">
        <w:rPr>
          <w:rFonts w:ascii="Gill Sans MT" w:eastAsia="Times New Roman" w:hAnsi="Gill Sans MT" w:cs="Times New Roman"/>
          <w:b/>
          <w:bCs/>
          <w:kern w:val="0"/>
          <w14:ligatures w14:val="none"/>
        </w:rPr>
        <w:lastRenderedPageBreak/>
        <w:t xml:space="preserve">Any engagement that leads to or is associated with public policy influence should be automatically considered </w:t>
      </w:r>
      <w:r w:rsidR="00E041E7">
        <w:rPr>
          <w:rFonts w:ascii="Gill Sans MT" w:eastAsia="Times New Roman" w:hAnsi="Gill Sans MT" w:cs="Times New Roman"/>
          <w:b/>
          <w:bCs/>
          <w:kern w:val="0"/>
          <w14:ligatures w14:val="none"/>
        </w:rPr>
        <w:t xml:space="preserve">of </w:t>
      </w:r>
      <w:r w:rsidRPr="00AA11FD">
        <w:rPr>
          <w:rFonts w:ascii="Gill Sans MT" w:eastAsia="Times New Roman" w:hAnsi="Gill Sans MT" w:cs="Times New Roman"/>
          <w:b/>
          <w:bCs/>
          <w:kern w:val="0"/>
          <w14:ligatures w14:val="none"/>
        </w:rPr>
        <w:t>High or Critical Intensity.</w:t>
      </w:r>
    </w:p>
    <w:p w14:paraId="215CBAD7" w14:textId="70C6EB03" w:rsidR="007C339A" w:rsidRPr="00AA11FD" w:rsidRDefault="007C339A" w:rsidP="007C339A">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AA11FD">
        <w:rPr>
          <w:rFonts w:ascii="Gill Sans MT" w:eastAsia="Times New Roman" w:hAnsi="Gill Sans MT" w:cs="Times New Roman"/>
          <w:b/>
          <w:bCs/>
          <w:kern w:val="0"/>
          <w:sz w:val="36"/>
          <w:szCs w:val="36"/>
          <w14:ligatures w14:val="none"/>
        </w:rPr>
        <w:t xml:space="preserve">Recidivism Framework </w:t>
      </w:r>
    </w:p>
    <w:p w14:paraId="7D78981A" w14:textId="77777777" w:rsidR="007C339A" w:rsidRPr="00AA11FD" w:rsidRDefault="007C339A" w:rsidP="007C339A">
      <w:pPr>
        <w:spacing w:before="100" w:beforeAutospacing="1" w:after="100" w:afterAutospacing="1" w:line="240" w:lineRule="auto"/>
        <w:rPr>
          <w:rFonts w:ascii="Gill Sans MT" w:eastAsia="Times New Roman" w:hAnsi="Gill Sans MT" w:cs="Times New Roman"/>
          <w:kern w:val="0"/>
          <w14:ligatures w14:val="none"/>
        </w:rPr>
      </w:pPr>
      <w:r w:rsidRPr="00AA11FD">
        <w:rPr>
          <w:rFonts w:ascii="Gill Sans MT" w:eastAsia="Times New Roman" w:hAnsi="Gill Sans MT" w:cs="Times New Roman"/>
          <w:b/>
          <w:bCs/>
          <w:kern w:val="0"/>
          <w14:ligatures w14:val="none"/>
        </w:rPr>
        <w:t>For repeat violations</w:t>
      </w:r>
      <w:r w:rsidRPr="00AA11FD">
        <w:rPr>
          <w:rFonts w:ascii="Gill Sans MT" w:eastAsia="Times New Roman" w:hAnsi="Gill Sans MT" w:cs="Times New Roman"/>
          <w:kern w:val="0"/>
          <w14:ligatures w14:val="none"/>
        </w:rPr>
        <w:t>:</w:t>
      </w:r>
    </w:p>
    <w:p w14:paraId="66AF9528" w14:textId="2963C558" w:rsidR="007C339A" w:rsidRPr="00AA11FD" w:rsidRDefault="007C339A" w:rsidP="007C339A">
      <w:pPr>
        <w:numPr>
          <w:ilvl w:val="0"/>
          <w:numId w:val="1"/>
        </w:numPr>
        <w:spacing w:before="100" w:beforeAutospacing="1" w:after="100" w:afterAutospacing="1" w:line="240" w:lineRule="auto"/>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First repeat violation: Automatic escalation to Critical (Level 4)</w:t>
      </w:r>
    </w:p>
    <w:p w14:paraId="78F9FF49" w14:textId="77777777" w:rsidR="007C339A" w:rsidRDefault="007C339A" w:rsidP="007C339A">
      <w:pPr>
        <w:numPr>
          <w:ilvl w:val="0"/>
          <w:numId w:val="1"/>
        </w:numPr>
        <w:spacing w:before="100" w:beforeAutospacing="1" w:after="100" w:afterAutospacing="1" w:line="240" w:lineRule="auto"/>
        <w:rPr>
          <w:rFonts w:ascii="Gill Sans MT" w:eastAsia="Times New Roman" w:hAnsi="Gill Sans MT" w:cs="Times New Roman"/>
          <w:kern w:val="0"/>
          <w14:ligatures w14:val="none"/>
        </w:rPr>
      </w:pPr>
      <w:r w:rsidRPr="00AA11FD">
        <w:rPr>
          <w:rFonts w:ascii="Gill Sans MT" w:eastAsia="Times New Roman" w:hAnsi="Gill Sans MT" w:cs="Times New Roman"/>
          <w:kern w:val="0"/>
          <w14:ligatures w14:val="none"/>
        </w:rPr>
        <w:t>All repeat violations: Permanent exclusion from tobacco control coalitions</w:t>
      </w:r>
    </w:p>
    <w:p w14:paraId="18DE4782" w14:textId="77777777" w:rsidR="00FE5F01" w:rsidRDefault="00FE5F01" w:rsidP="00FE5F01">
      <w:pPr>
        <w:spacing w:before="100" w:beforeAutospacing="1" w:after="100" w:afterAutospacing="1" w:line="240" w:lineRule="auto"/>
        <w:ind w:left="720"/>
        <w:rPr>
          <w:rFonts w:ascii="Gill Sans MT" w:eastAsia="Times New Roman" w:hAnsi="Gill Sans MT" w:cs="Times New Roman"/>
          <w:kern w:val="0"/>
          <w14:ligatures w14:val="none"/>
        </w:rPr>
      </w:pPr>
    </w:p>
    <w:p w14:paraId="01FE4653" w14:textId="77777777" w:rsidR="00B030B9" w:rsidRDefault="00B030B9" w:rsidP="00B030B9">
      <w:pPr>
        <w:spacing w:before="100" w:beforeAutospacing="1" w:after="100" w:afterAutospacing="1" w:line="240" w:lineRule="auto"/>
        <w:outlineLvl w:val="1"/>
        <w:rPr>
          <w:rFonts w:ascii="Gill Sans MT" w:eastAsia="Times New Roman" w:hAnsi="Gill Sans MT" w:cs="Times New Roman"/>
          <w:b/>
          <w:bCs/>
          <w:kern w:val="0"/>
          <w14:ligatures w14:val="none"/>
        </w:rPr>
      </w:pPr>
      <w:r>
        <w:rPr>
          <w:rFonts w:ascii="Gill Sans MT" w:eastAsia="Times New Roman" w:hAnsi="Gill Sans MT" w:cs="Times New Roman"/>
          <w:b/>
          <w:bCs/>
          <w:kern w:val="0"/>
          <w14:ligatures w14:val="none"/>
        </w:rPr>
        <w:t xml:space="preserve">ANNEX: </w:t>
      </w:r>
    </w:p>
    <w:p w14:paraId="12DC92D4" w14:textId="50E3E1CC" w:rsidR="00B030B9" w:rsidRPr="008E34F6" w:rsidRDefault="00B030B9" w:rsidP="00B030B9">
      <w:pPr>
        <w:spacing w:before="100" w:beforeAutospacing="1" w:after="100" w:afterAutospacing="1" w:line="240" w:lineRule="auto"/>
        <w:outlineLvl w:val="1"/>
        <w:rPr>
          <w:rFonts w:ascii="Gill Sans MT" w:eastAsia="Times New Roman" w:hAnsi="Gill Sans MT" w:cs="Times New Roman"/>
          <w:b/>
          <w:bCs/>
          <w:kern w:val="0"/>
          <w14:ligatures w14:val="none"/>
        </w:rPr>
      </w:pPr>
      <w:r w:rsidRPr="008E34F6">
        <w:rPr>
          <w:rFonts w:ascii="Gill Sans MT" w:eastAsia="Times New Roman" w:hAnsi="Gill Sans MT" w:cs="Times New Roman"/>
          <w:b/>
          <w:bCs/>
          <w:kern w:val="0"/>
          <w14:ligatures w14:val="none"/>
        </w:rPr>
        <w:t>Definition of the Tobacco Industry</w:t>
      </w:r>
      <w:r w:rsidR="004E4BB0">
        <w:rPr>
          <w:rStyle w:val="EndnoteReference"/>
          <w:rFonts w:ascii="Gill Sans MT" w:eastAsia="Times New Roman" w:hAnsi="Gill Sans MT" w:cs="Times New Roman"/>
          <w:b/>
          <w:bCs/>
          <w:kern w:val="0"/>
          <w14:ligatures w14:val="none"/>
        </w:rPr>
        <w:endnoteReference w:id="5"/>
      </w:r>
      <w:r w:rsidR="00DD18DE">
        <w:rPr>
          <w:rFonts w:ascii="Gill Sans MT" w:eastAsia="Times New Roman" w:hAnsi="Gill Sans MT" w:cs="Times New Roman"/>
          <w:b/>
          <w:bCs/>
          <w:kern w:val="0"/>
          <w14:ligatures w14:val="none"/>
        </w:rPr>
        <w:t xml:space="preserve"> </w:t>
      </w:r>
    </w:p>
    <w:p w14:paraId="32F99D18" w14:textId="77777777" w:rsidR="00B030B9" w:rsidRPr="008E34F6" w:rsidRDefault="00B030B9" w:rsidP="00B030B9">
      <w:pPr>
        <w:pStyle w:val="ListParagraph"/>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In accordance with WHO FCTC Article 5.3 Guidelines, tobacco industry entities include, but is not limited to:</w:t>
      </w:r>
    </w:p>
    <w:p w14:paraId="2D0C768A" w14:textId="77777777" w:rsidR="00B030B9" w:rsidRPr="008E34F6" w:rsidRDefault="00B030B9" w:rsidP="005179FA">
      <w:pPr>
        <w:pStyle w:val="ListParagraph"/>
        <w:numPr>
          <w:ilvl w:val="1"/>
          <w:numId w:val="19"/>
        </w:numPr>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Tobacco manufacturers, wholesalers, importers, and exporters</w:t>
      </w:r>
    </w:p>
    <w:p w14:paraId="522C5749" w14:textId="77777777" w:rsidR="00B030B9" w:rsidRPr="008E34F6" w:rsidRDefault="00B030B9" w:rsidP="005179FA">
      <w:pPr>
        <w:pStyle w:val="ListParagraph"/>
        <w:numPr>
          <w:ilvl w:val="1"/>
          <w:numId w:val="19"/>
        </w:numPr>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Parent, subsidiary, and affiliate companies of tobacco manufacturers</w:t>
      </w:r>
    </w:p>
    <w:p w14:paraId="0A1D6C7B" w14:textId="77777777" w:rsidR="00B030B9" w:rsidRPr="008E34F6" w:rsidRDefault="00B030B9" w:rsidP="005179FA">
      <w:pPr>
        <w:pStyle w:val="ListParagraph"/>
        <w:numPr>
          <w:ilvl w:val="1"/>
          <w:numId w:val="19"/>
        </w:numPr>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Any organization or individual that represents tobacco industry interests, including but not limited to:</w:t>
      </w:r>
    </w:p>
    <w:p w14:paraId="25D75FCF" w14:textId="77777777" w:rsidR="00B030B9" w:rsidRPr="008E34F6" w:rsidRDefault="00B030B9" w:rsidP="00B030B9">
      <w:pPr>
        <w:pStyle w:val="ListParagraph"/>
        <w:numPr>
          <w:ilvl w:val="0"/>
          <w:numId w:val="7"/>
        </w:numPr>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Law firms representing tobacco companies</w:t>
      </w:r>
    </w:p>
    <w:p w14:paraId="528359B8" w14:textId="77777777" w:rsidR="00B030B9" w:rsidRPr="008E34F6" w:rsidRDefault="00B030B9" w:rsidP="00B030B9">
      <w:pPr>
        <w:pStyle w:val="ListParagraph"/>
        <w:numPr>
          <w:ilvl w:val="0"/>
          <w:numId w:val="7"/>
        </w:numPr>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Public relations companies working for the tobacco industry</w:t>
      </w:r>
    </w:p>
    <w:p w14:paraId="1415D9AA" w14:textId="77777777" w:rsidR="00B030B9" w:rsidRPr="008E34F6" w:rsidRDefault="00B030B9" w:rsidP="00B030B9">
      <w:pPr>
        <w:pStyle w:val="ListParagraph"/>
        <w:numPr>
          <w:ilvl w:val="0"/>
          <w:numId w:val="7"/>
        </w:numPr>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Consultants and lobbyists advancing industry positions</w:t>
      </w:r>
    </w:p>
    <w:p w14:paraId="254BFEDD" w14:textId="0B557FFD" w:rsidR="00B030B9" w:rsidRPr="008E34F6" w:rsidRDefault="00B030B9" w:rsidP="00B030B9">
      <w:pPr>
        <w:pStyle w:val="ListParagraph"/>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 xml:space="preserve">      d</w:t>
      </w:r>
      <w:r w:rsidR="008574C1">
        <w:rPr>
          <w:rFonts w:ascii="Gill Sans MT" w:eastAsia="Times New Roman" w:hAnsi="Gill Sans MT" w:cs="Times New Roman"/>
          <w:kern w:val="0"/>
          <w14:ligatures w14:val="none"/>
        </w:rPr>
        <w:t>)</w:t>
      </w:r>
      <w:r w:rsidRPr="008E34F6">
        <w:rPr>
          <w:rFonts w:ascii="Gill Sans MT" w:eastAsia="Times New Roman" w:hAnsi="Gill Sans MT" w:cs="Times New Roman"/>
          <w:kern w:val="0"/>
          <w14:ligatures w14:val="none"/>
        </w:rPr>
        <w:t xml:space="preserve"> Organizations receiving funding from the tobacco industry, including:</w:t>
      </w:r>
    </w:p>
    <w:p w14:paraId="6F7D2F49" w14:textId="77777777" w:rsidR="00B030B9" w:rsidRPr="008E34F6" w:rsidRDefault="00B030B9" w:rsidP="00B030B9">
      <w:pPr>
        <w:pStyle w:val="ListParagraph"/>
        <w:numPr>
          <w:ilvl w:val="0"/>
          <w:numId w:val="15"/>
        </w:numPr>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Front groups and third-party allies</w:t>
      </w:r>
    </w:p>
    <w:p w14:paraId="308BFCE8" w14:textId="77777777" w:rsidR="00B030B9" w:rsidRPr="008E34F6" w:rsidRDefault="00B030B9" w:rsidP="00B030B9">
      <w:pPr>
        <w:pStyle w:val="ListParagraph"/>
        <w:numPr>
          <w:ilvl w:val="0"/>
          <w:numId w:val="15"/>
        </w:numPr>
        <w:spacing w:before="100" w:beforeAutospacing="1" w:after="100" w:afterAutospacing="1" w:line="240" w:lineRule="auto"/>
        <w:rPr>
          <w:rFonts w:ascii="Gill Sans MT" w:eastAsia="Times New Roman" w:hAnsi="Gill Sans MT" w:cs="Times New Roman"/>
          <w:kern w:val="0"/>
          <w:vertAlign w:val="superscript"/>
          <w14:ligatures w14:val="none"/>
        </w:rPr>
      </w:pPr>
      <w:r w:rsidRPr="008E34F6">
        <w:rPr>
          <w:rFonts w:ascii="Gill Sans MT" w:eastAsia="Times New Roman" w:hAnsi="Gill Sans MT" w:cs="Times New Roman"/>
          <w:kern w:val="0"/>
          <w14:ligatures w14:val="none"/>
        </w:rPr>
        <w:t>Research institutions accepting tobacco funding</w:t>
      </w:r>
    </w:p>
    <w:p w14:paraId="05720DA7" w14:textId="77777777" w:rsidR="00B030B9" w:rsidRPr="008E34F6" w:rsidRDefault="00B030B9" w:rsidP="00B030B9">
      <w:pPr>
        <w:pStyle w:val="ListParagraph"/>
        <w:numPr>
          <w:ilvl w:val="0"/>
          <w:numId w:val="15"/>
        </w:numPr>
        <w:spacing w:before="100" w:beforeAutospacing="1" w:after="100" w:afterAutospacing="1" w:line="240" w:lineRule="auto"/>
        <w:rPr>
          <w:rFonts w:ascii="Gill Sans MT" w:eastAsia="Times New Roman" w:hAnsi="Gill Sans MT" w:cs="Times New Roman"/>
          <w:kern w:val="0"/>
          <w:vertAlign w:val="superscript"/>
          <w14:ligatures w14:val="none"/>
        </w:rPr>
      </w:pPr>
      <w:r w:rsidRPr="008E34F6">
        <w:rPr>
          <w:rFonts w:ascii="Gill Sans MT" w:eastAsia="Times New Roman" w:hAnsi="Gill Sans MT" w:cs="Times New Roman"/>
          <w:kern w:val="0"/>
          <w14:ligatures w14:val="none"/>
        </w:rPr>
        <w:t>Foundations established by tobacco companies</w:t>
      </w:r>
    </w:p>
    <w:p w14:paraId="03826A15" w14:textId="15030754" w:rsidR="00B030B9" w:rsidRPr="008E34F6" w:rsidRDefault="00B030B9" w:rsidP="008574C1">
      <w:pPr>
        <w:pStyle w:val="ListParagraph"/>
        <w:numPr>
          <w:ilvl w:val="0"/>
          <w:numId w:val="18"/>
        </w:numPr>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Entities that work to further tobacco industry interests, including:</w:t>
      </w:r>
    </w:p>
    <w:p w14:paraId="3D2C53C3" w14:textId="77777777" w:rsidR="00B030B9" w:rsidRPr="008E34F6" w:rsidRDefault="00B030B9" w:rsidP="00B030B9">
      <w:pPr>
        <w:pStyle w:val="ListParagraph"/>
        <w:numPr>
          <w:ilvl w:val="0"/>
          <w:numId w:val="17"/>
        </w:numPr>
        <w:spacing w:before="100" w:beforeAutospacing="1" w:after="100" w:afterAutospacing="1" w:line="240" w:lineRule="auto"/>
        <w:rPr>
          <w:rFonts w:ascii="Gill Sans MT" w:eastAsia="Times New Roman" w:hAnsi="Gill Sans MT" w:cs="Times New Roman"/>
          <w:kern w:val="0"/>
          <w:vertAlign w:val="superscript"/>
          <w14:ligatures w14:val="none"/>
        </w:rPr>
      </w:pPr>
      <w:r w:rsidRPr="008E34F6">
        <w:rPr>
          <w:rFonts w:ascii="Gill Sans MT" w:eastAsia="Times New Roman" w:hAnsi="Gill Sans MT" w:cs="Times New Roman"/>
          <w:kern w:val="0"/>
          <w14:ligatures w14:val="none"/>
        </w:rPr>
        <w:t>Industry-established "corporate social responsibility" initiatives</w:t>
      </w:r>
    </w:p>
    <w:p w14:paraId="68963927" w14:textId="77777777" w:rsidR="00B030B9" w:rsidRPr="008E34F6" w:rsidRDefault="00B030B9" w:rsidP="00B030B9">
      <w:pPr>
        <w:pStyle w:val="ListParagraph"/>
        <w:numPr>
          <w:ilvl w:val="0"/>
          <w:numId w:val="17"/>
        </w:numPr>
        <w:spacing w:before="100" w:beforeAutospacing="1" w:after="100" w:afterAutospacing="1" w:line="240" w:lineRule="auto"/>
        <w:rPr>
          <w:rFonts w:ascii="Gill Sans MT" w:eastAsia="Times New Roman" w:hAnsi="Gill Sans MT" w:cs="Times New Roman"/>
          <w:kern w:val="0"/>
          <w:vertAlign w:val="superscript"/>
          <w14:ligatures w14:val="none"/>
        </w:rPr>
      </w:pPr>
      <w:r w:rsidRPr="008E34F6">
        <w:rPr>
          <w:rFonts w:ascii="Gill Sans MT" w:eastAsia="Times New Roman" w:hAnsi="Gill Sans MT" w:cs="Times New Roman"/>
          <w:kern w:val="0"/>
          <w14:ligatures w14:val="none"/>
        </w:rPr>
        <w:t>Organizations promoting "reduced-harm" products while opposing evidence-based measures aligned with the WHO FCTC</w:t>
      </w:r>
    </w:p>
    <w:p w14:paraId="661B7AC9" w14:textId="77777777" w:rsidR="00B030B9" w:rsidRPr="008E34F6" w:rsidRDefault="00B030B9" w:rsidP="00B030B9">
      <w:pPr>
        <w:pStyle w:val="ListParagraph"/>
        <w:numPr>
          <w:ilvl w:val="0"/>
          <w:numId w:val="17"/>
        </w:numPr>
        <w:spacing w:before="100" w:beforeAutospacing="1" w:after="100" w:afterAutospacing="1" w:line="240" w:lineRule="auto"/>
        <w:rPr>
          <w:rFonts w:ascii="Gill Sans MT" w:eastAsia="Times New Roman" w:hAnsi="Gill Sans MT" w:cs="Times New Roman"/>
          <w:kern w:val="0"/>
          <w14:ligatures w14:val="none"/>
        </w:rPr>
      </w:pPr>
      <w:r w:rsidRPr="008E34F6">
        <w:rPr>
          <w:rFonts w:ascii="Gill Sans MT" w:eastAsia="Times New Roman" w:hAnsi="Gill Sans MT" w:cs="Times New Roman"/>
          <w:kern w:val="0"/>
          <w14:ligatures w14:val="none"/>
        </w:rPr>
        <w:t>Entities that consistently advance tobacco industry policy positions</w:t>
      </w:r>
    </w:p>
    <w:p w14:paraId="7CD5CE8B" w14:textId="77777777" w:rsidR="00FE5F01" w:rsidRPr="00AA11FD" w:rsidRDefault="00FE5F01" w:rsidP="00FE5F01">
      <w:pPr>
        <w:spacing w:before="100" w:beforeAutospacing="1" w:after="100" w:afterAutospacing="1" w:line="240" w:lineRule="auto"/>
        <w:rPr>
          <w:rFonts w:ascii="Gill Sans MT" w:eastAsia="Times New Roman" w:hAnsi="Gill Sans MT" w:cs="Times New Roman"/>
          <w:kern w:val="0"/>
          <w14:ligatures w14:val="none"/>
        </w:rPr>
      </w:pPr>
    </w:p>
    <w:p w14:paraId="7219C0C4" w14:textId="10FE0D32" w:rsidR="007C339A" w:rsidRPr="00AA11FD" w:rsidRDefault="00FB58E4" w:rsidP="00FE3CE5">
      <w:pPr>
        <w:pBdr>
          <w:top w:val="single" w:sz="4" w:space="1" w:color="auto"/>
          <w:left w:val="single" w:sz="4" w:space="4" w:color="auto"/>
          <w:bottom w:val="single" w:sz="4" w:space="1" w:color="auto"/>
          <w:right w:val="single" w:sz="4" w:space="4" w:color="auto"/>
        </w:pBdr>
        <w:spacing w:before="100" w:beforeAutospacing="1" w:after="100" w:afterAutospacing="1" w:line="240" w:lineRule="auto"/>
        <w:outlineLvl w:val="1"/>
        <w:rPr>
          <w:rFonts w:ascii="Gill Sans MT" w:eastAsia="Times New Roman" w:hAnsi="Gill Sans MT" w:cs="Times New Roman"/>
          <w:b/>
          <w:bCs/>
          <w:kern w:val="0"/>
          <w14:ligatures w14:val="none"/>
        </w:rPr>
      </w:pPr>
      <w:r w:rsidRPr="00AA11FD">
        <w:rPr>
          <w:rFonts w:ascii="Gill Sans MT" w:eastAsia="Times New Roman" w:hAnsi="Gill Sans MT" w:cs="Times New Roman"/>
          <w:b/>
          <w:bCs/>
          <w:kern w:val="0"/>
          <w14:ligatures w14:val="none"/>
        </w:rPr>
        <w:t>Disclaimer: This represents minimum standards only. Organizations should adapt and strengthen these materials to address their specific context and evolving industry tactics, provided all modifications enhance protection against tobacco industry interference.</w:t>
      </w:r>
      <w:r w:rsidR="009A26DE">
        <w:rPr>
          <w:rStyle w:val="EndnoteReference"/>
          <w:rFonts w:ascii="Gill Sans MT" w:eastAsia="Times New Roman" w:hAnsi="Gill Sans MT" w:cs="Times New Roman"/>
          <w:b/>
          <w:bCs/>
          <w:kern w:val="0"/>
          <w14:ligatures w14:val="none"/>
        </w:rPr>
        <w:endnoteReference w:id="6"/>
      </w:r>
    </w:p>
    <w:sectPr w:rsidR="007C339A" w:rsidRPr="00AA11FD">
      <w:headerReference w:type="default" r:id="rId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1429D" w14:textId="77777777" w:rsidR="00E72F99" w:rsidRDefault="00E72F99" w:rsidP="00051B21">
      <w:pPr>
        <w:spacing w:after="0" w:line="240" w:lineRule="auto"/>
      </w:pPr>
      <w:r>
        <w:separator/>
      </w:r>
    </w:p>
  </w:endnote>
  <w:endnote w:type="continuationSeparator" w:id="0">
    <w:p w14:paraId="13BA78CE" w14:textId="77777777" w:rsidR="00E72F99" w:rsidRDefault="00E72F99" w:rsidP="00051B21">
      <w:pPr>
        <w:spacing w:after="0" w:line="240" w:lineRule="auto"/>
      </w:pPr>
      <w:r>
        <w:continuationSeparator/>
      </w:r>
    </w:p>
  </w:endnote>
  <w:endnote w:id="1">
    <w:p w14:paraId="42EB17DF" w14:textId="2E354FB1" w:rsidR="00416A5C" w:rsidRPr="009D03D9" w:rsidRDefault="00416A5C" w:rsidP="00745E36">
      <w:pPr>
        <w:pStyle w:val="EndnoteText"/>
        <w:rPr>
          <w:rFonts w:ascii="Gill Sans MT" w:hAnsi="Gill Sans MT"/>
          <w:lang w:val="en-IN"/>
        </w:rPr>
      </w:pPr>
      <w:r w:rsidRPr="009D03D9">
        <w:rPr>
          <w:rStyle w:val="EndnoteReference"/>
          <w:rFonts w:ascii="Gill Sans MT" w:hAnsi="Gill Sans MT"/>
        </w:rPr>
        <w:endnoteRef/>
      </w:r>
      <w:r w:rsidRPr="009D03D9">
        <w:rPr>
          <w:rFonts w:ascii="Gill Sans MT" w:hAnsi="Gill Sans MT"/>
        </w:rPr>
        <w:t xml:space="preserve"> </w:t>
      </w:r>
      <w:r w:rsidR="00745E36" w:rsidRPr="009D03D9">
        <w:rPr>
          <w:rFonts w:ascii="Gill Sans MT" w:hAnsi="Gill Sans MT"/>
        </w:rPr>
        <w:t xml:space="preserve">Tobacco Tactics. (2021). Foundation for a Smoke-Free World. University of Bath. </w:t>
      </w:r>
      <w:hyperlink r:id="rId1" w:tgtFrame="_new" w:history="1">
        <w:r w:rsidR="00745E36" w:rsidRPr="009D03D9">
          <w:rPr>
            <w:rStyle w:val="Hyperlink"/>
            <w:rFonts w:ascii="Gill Sans MT" w:hAnsi="Gill Sans MT"/>
          </w:rPr>
          <w:t>https://tobaccotactics.org/wiki/foundation-for-a-smoke-free-world/</w:t>
        </w:r>
      </w:hyperlink>
      <w:r w:rsidR="00745E36" w:rsidRPr="009D03D9">
        <w:rPr>
          <w:rFonts w:ascii="Gill Sans MT" w:hAnsi="Gill Sans MT"/>
        </w:rPr>
        <w:t xml:space="preserve"> </w:t>
      </w:r>
    </w:p>
  </w:endnote>
  <w:endnote w:id="2">
    <w:p w14:paraId="5C8D7BA3" w14:textId="4EFC1A06" w:rsidR="00E47B7C" w:rsidRPr="009D03D9" w:rsidRDefault="00A66E84" w:rsidP="00E47B7C">
      <w:pPr>
        <w:pStyle w:val="EndnoteText"/>
        <w:rPr>
          <w:rFonts w:ascii="Gill Sans MT" w:hAnsi="Gill Sans MT"/>
          <w:lang w:val="en-IN"/>
        </w:rPr>
      </w:pPr>
      <w:r w:rsidRPr="009D03D9">
        <w:rPr>
          <w:rStyle w:val="EndnoteReference"/>
          <w:rFonts w:ascii="Gill Sans MT" w:hAnsi="Gill Sans MT"/>
        </w:rPr>
        <w:endnoteRef/>
      </w:r>
      <w:r w:rsidRPr="009D03D9">
        <w:rPr>
          <w:rFonts w:ascii="Gill Sans MT" w:hAnsi="Gill Sans MT"/>
        </w:rPr>
        <w:t xml:space="preserve"> </w:t>
      </w:r>
      <w:r w:rsidR="00E47B7C" w:rsidRPr="009D03D9">
        <w:rPr>
          <w:rFonts w:ascii="Gill Sans MT" w:hAnsi="Gill Sans MT"/>
          <w:lang w:val="en-IN"/>
        </w:rPr>
        <w:t>“Parties should, in addition, raise awareness about the tobacco industry’s practice of using individuals, front groups and affiliated organizations to act, openly or covertly, on their behalf or to take action to further the interests of the tobacco industry.”¹</w:t>
      </w:r>
    </w:p>
    <w:p w14:paraId="4AC534AA" w14:textId="4E3F153D" w:rsidR="00A66E84" w:rsidRPr="009D03D9" w:rsidRDefault="00E47B7C">
      <w:pPr>
        <w:pStyle w:val="EndnoteText"/>
        <w:rPr>
          <w:rFonts w:ascii="Gill Sans MT" w:hAnsi="Gill Sans MT"/>
          <w:lang w:val="en-IN"/>
        </w:rPr>
      </w:pPr>
      <w:r w:rsidRPr="009D03D9">
        <w:rPr>
          <w:rFonts w:ascii="Gill Sans MT" w:hAnsi="Gill Sans MT"/>
          <w:lang w:val="en-IN"/>
        </w:rPr>
        <w:t xml:space="preserve">World Health Organization, </w:t>
      </w:r>
      <w:r w:rsidRPr="009D03D9">
        <w:rPr>
          <w:rFonts w:ascii="Gill Sans MT" w:hAnsi="Gill Sans MT"/>
          <w:i/>
          <w:iCs/>
          <w:lang w:val="en-IN"/>
        </w:rPr>
        <w:t>Guidelines for Implementation of Article 5.3 of the WHO Framework Convention on Tobacco Control</w:t>
      </w:r>
      <w:r w:rsidRPr="009D03D9">
        <w:rPr>
          <w:rFonts w:ascii="Gill Sans MT" w:hAnsi="Gill Sans MT"/>
          <w:lang w:val="en-IN"/>
        </w:rPr>
        <w:t xml:space="preserve">, Recommendation 1.2, page 6, 2008. Available at: </w:t>
      </w:r>
      <w:hyperlink r:id="rId2" w:tgtFrame="_new" w:history="1">
        <w:r w:rsidRPr="009D03D9">
          <w:rPr>
            <w:rStyle w:val="Hyperlink"/>
            <w:rFonts w:ascii="Gill Sans MT" w:hAnsi="Gill Sans MT"/>
            <w:lang w:val="en-IN"/>
          </w:rPr>
          <w:t>https://fctc.who.int/publications/m/item/guidelines-for-implementation-of-article-5.3</w:t>
        </w:r>
      </w:hyperlink>
    </w:p>
  </w:endnote>
  <w:endnote w:id="3">
    <w:p w14:paraId="37E4EF83" w14:textId="7D9B81B6" w:rsidR="00D00F04" w:rsidRPr="009D03D9" w:rsidRDefault="00AE3127" w:rsidP="00D00F04">
      <w:pPr>
        <w:pStyle w:val="EndnoteText"/>
        <w:rPr>
          <w:rFonts w:ascii="Gill Sans MT" w:hAnsi="Gill Sans MT"/>
          <w:lang w:val="en-IN"/>
        </w:rPr>
      </w:pPr>
      <w:r w:rsidRPr="009D03D9">
        <w:rPr>
          <w:rStyle w:val="EndnoteReference"/>
          <w:rFonts w:ascii="Gill Sans MT" w:hAnsi="Gill Sans MT"/>
        </w:rPr>
        <w:endnoteRef/>
      </w:r>
      <w:r w:rsidRPr="009D03D9">
        <w:rPr>
          <w:rFonts w:ascii="Gill Sans MT" w:hAnsi="Gill Sans MT"/>
        </w:rPr>
        <w:t xml:space="preserve"> </w:t>
      </w:r>
      <w:r w:rsidR="00D00F04" w:rsidRPr="009D03D9">
        <w:rPr>
          <w:rFonts w:ascii="Gill Sans MT" w:hAnsi="Gill Sans MT"/>
          <w:lang w:val="en-IN"/>
        </w:rPr>
        <w:t>Evidence from internal tobacco industry documents in the US shows that tobacco companies attempted to infiltrate at least two organisations. STAT (Stop Teenage Addiction to Tobacco) and INFACT (the Infant Formula Action Coalition) were active and effective during the 1990s and pursued agendas antithetical to industry interests. … the tobacco industry used intermediaries to access materials on their behalf and to attend conferences, planted public relations consultants as spies to attend and report on meetings, and illegally tape recorded meetings.”</w:t>
      </w:r>
    </w:p>
    <w:p w14:paraId="708EB80D" w14:textId="651E9A20" w:rsidR="00AE3127" w:rsidRPr="009D03D9" w:rsidRDefault="00D00F04">
      <w:pPr>
        <w:pStyle w:val="EndnoteText"/>
        <w:rPr>
          <w:rFonts w:ascii="Gill Sans MT" w:hAnsi="Gill Sans MT"/>
          <w:lang w:val="en-IN"/>
        </w:rPr>
      </w:pPr>
      <w:r w:rsidRPr="009D03D9">
        <w:rPr>
          <w:rFonts w:ascii="Gill Sans MT" w:hAnsi="Gill Sans MT"/>
          <w:lang w:val="en-IN"/>
        </w:rPr>
        <w:t xml:space="preserve">Cancer Council Victoria. “10A.4 Mechanisms of influence—undermining public health organisations.” </w:t>
      </w:r>
      <w:r w:rsidRPr="009D03D9">
        <w:rPr>
          <w:rFonts w:ascii="Gill Sans MT" w:hAnsi="Gill Sans MT"/>
          <w:i/>
          <w:iCs/>
          <w:lang w:val="en-IN"/>
        </w:rPr>
        <w:t>Tobacco in Australia: Facts and Issues</w:t>
      </w:r>
      <w:r w:rsidRPr="009D03D9">
        <w:rPr>
          <w:rFonts w:ascii="Gill Sans MT" w:hAnsi="Gill Sans MT"/>
          <w:lang w:val="en-IN"/>
        </w:rPr>
        <w:t xml:space="preserve">, 2018. Available at: </w:t>
      </w:r>
      <w:hyperlink r:id="rId3" w:history="1">
        <w:r w:rsidRPr="009D03D9">
          <w:rPr>
            <w:rStyle w:val="Hyperlink"/>
            <w:rFonts w:ascii="Gill Sans MT" w:hAnsi="Gill Sans MT"/>
            <w:lang w:val="en-IN"/>
          </w:rPr>
          <w:t>https://www.tobaccoinaustralia.org.au/chapter-10-tobacco-industry/indepth-10a-strategies-for-influence/10a-4-the-mechanisms-of-influence-undermining-publ</w:t>
        </w:r>
      </w:hyperlink>
      <w:r w:rsidRPr="009D03D9">
        <w:rPr>
          <w:rFonts w:ascii="Gill Sans MT" w:hAnsi="Gill Sans MT"/>
          <w:lang w:val="en-IN"/>
        </w:rPr>
        <w:t xml:space="preserve">. </w:t>
      </w:r>
    </w:p>
  </w:endnote>
  <w:endnote w:id="4">
    <w:p w14:paraId="45C99E86" w14:textId="620BBD14" w:rsidR="004835EF" w:rsidRPr="009D03D9" w:rsidRDefault="00815313">
      <w:pPr>
        <w:pStyle w:val="EndnoteText"/>
        <w:rPr>
          <w:rFonts w:ascii="Gill Sans MT" w:hAnsi="Gill Sans MT"/>
          <w:lang w:val="en-IN"/>
        </w:rPr>
      </w:pPr>
      <w:r w:rsidRPr="009D03D9">
        <w:rPr>
          <w:rStyle w:val="EndnoteReference"/>
          <w:rFonts w:ascii="Gill Sans MT" w:hAnsi="Gill Sans MT"/>
        </w:rPr>
        <w:endnoteRef/>
      </w:r>
      <w:r w:rsidRPr="009D03D9">
        <w:rPr>
          <w:rFonts w:ascii="Gill Sans MT" w:hAnsi="Gill Sans MT"/>
        </w:rPr>
        <w:t xml:space="preserve"> </w:t>
      </w:r>
      <w:r w:rsidR="004835EF" w:rsidRPr="009D03D9">
        <w:rPr>
          <w:rFonts w:ascii="Gill Sans MT" w:hAnsi="Gill Sans MT"/>
        </w:rPr>
        <w:t xml:space="preserve">Front groups are used to obscure tobacco industry links and oppose regulation under the guise of independence.” </w:t>
      </w:r>
      <w:r w:rsidR="004835EF" w:rsidRPr="009D03D9">
        <w:rPr>
          <w:rFonts w:ascii="Gill Sans MT" w:hAnsi="Gill Sans MT"/>
          <w:b/>
          <w:bCs/>
        </w:rPr>
        <w:t xml:space="preserve">— STOP, ExposeTobacco.org, 2020 </w:t>
      </w:r>
      <w:r w:rsidR="00986B03" w:rsidRPr="009D03D9">
        <w:rPr>
          <w:rFonts w:ascii="Gill Sans MT" w:hAnsi="Gill Sans MT"/>
          <w:b/>
          <w:bCs/>
        </w:rPr>
        <w:br/>
      </w:r>
      <w:hyperlink r:id="rId4" w:history="1">
        <w:r w:rsidR="00986B03" w:rsidRPr="009D03D9">
          <w:rPr>
            <w:rStyle w:val="Hyperlink"/>
            <w:rFonts w:ascii="Gill Sans MT" w:hAnsi="Gill Sans MT"/>
            <w:b/>
            <w:bCs/>
          </w:rPr>
          <w:t>https://exposetobacco.org/news/stop-exposes-18-more-industry-allies/</w:t>
        </w:r>
      </w:hyperlink>
      <w:r w:rsidR="00986B03" w:rsidRPr="009D03D9">
        <w:rPr>
          <w:rFonts w:ascii="Gill Sans MT" w:hAnsi="Gill Sans MT"/>
          <w:b/>
          <w:bCs/>
        </w:rPr>
        <w:t xml:space="preserve"> </w:t>
      </w:r>
    </w:p>
  </w:endnote>
  <w:endnote w:id="5">
    <w:p w14:paraId="515A31DD" w14:textId="4F936C82" w:rsidR="004E4BB0" w:rsidRPr="009D03D9" w:rsidRDefault="004E4BB0">
      <w:pPr>
        <w:pStyle w:val="EndnoteText"/>
        <w:rPr>
          <w:rFonts w:ascii="Gill Sans MT" w:hAnsi="Gill Sans MT"/>
          <w:lang w:val="en-IN"/>
        </w:rPr>
      </w:pPr>
      <w:r w:rsidRPr="009D03D9">
        <w:rPr>
          <w:rStyle w:val="EndnoteReference"/>
          <w:rFonts w:ascii="Gill Sans MT" w:hAnsi="Gill Sans MT"/>
        </w:rPr>
        <w:endnoteRef/>
      </w:r>
      <w:r w:rsidRPr="009D03D9">
        <w:rPr>
          <w:rFonts w:ascii="Gill Sans MT" w:hAnsi="Gill Sans MT"/>
        </w:rPr>
        <w:t xml:space="preserve"> </w:t>
      </w:r>
      <w:r w:rsidR="00F608AD" w:rsidRPr="009D03D9">
        <w:rPr>
          <w:rFonts w:ascii="Gill Sans MT" w:hAnsi="Gill Sans MT"/>
        </w:rPr>
        <w:t xml:space="preserve">Preventing tobacco Industry Interference. A Toolkit for Advocates and Policymakers. GGTC. 2023. Available at: </w:t>
      </w:r>
      <w:hyperlink r:id="rId5" w:history="1">
        <w:r w:rsidR="00F608AD" w:rsidRPr="009D03D9">
          <w:rPr>
            <w:rStyle w:val="Hyperlink"/>
            <w:rFonts w:ascii="Gill Sans MT" w:hAnsi="Gill Sans MT"/>
          </w:rPr>
          <w:t>https://files.ggtc.world/uploads/2024-02-01/03-07-53-470050/GGTC%20Toolkit%20(Redesign)%20171123.pdf</w:t>
        </w:r>
      </w:hyperlink>
      <w:r w:rsidR="00F608AD" w:rsidRPr="009D03D9">
        <w:rPr>
          <w:rFonts w:ascii="Gill Sans MT" w:hAnsi="Gill Sans MT"/>
        </w:rPr>
        <w:t xml:space="preserve"> </w:t>
      </w:r>
    </w:p>
  </w:endnote>
  <w:endnote w:id="6">
    <w:p w14:paraId="7D4CF713" w14:textId="60CA0BB2" w:rsidR="009A26DE" w:rsidRPr="009D03D9" w:rsidRDefault="009A26DE">
      <w:pPr>
        <w:pStyle w:val="EndnoteText"/>
        <w:rPr>
          <w:rFonts w:ascii="Gill Sans MT" w:hAnsi="Gill Sans MT"/>
          <w:lang w:val="en-IN"/>
        </w:rPr>
      </w:pPr>
      <w:r w:rsidRPr="009D03D9">
        <w:rPr>
          <w:rStyle w:val="EndnoteReference"/>
          <w:rFonts w:ascii="Gill Sans MT" w:hAnsi="Gill Sans MT"/>
        </w:rPr>
        <w:endnoteRef/>
      </w:r>
      <w:r w:rsidRPr="009D03D9">
        <w:rPr>
          <w:rFonts w:ascii="Gill Sans MT" w:hAnsi="Gill Sans MT"/>
        </w:rPr>
        <w:t xml:space="preserve"> </w:t>
      </w:r>
      <w:r w:rsidR="00563984" w:rsidRPr="009D03D9">
        <w:rPr>
          <w:rFonts w:ascii="Gill Sans MT" w:hAnsi="Gill Sans MT"/>
        </w:rPr>
        <w:t>World Health Organization. (2012). Tobacco industry interference with tobacco control. Geneva: WHO</w:t>
      </w:r>
      <w:r w:rsidR="00986B03" w:rsidRPr="009D03D9">
        <w:rPr>
          <w:rFonts w:ascii="Gill Sans MT" w:hAnsi="Gill Sans MT"/>
        </w:rPr>
        <w:br/>
      </w:r>
      <w:hyperlink r:id="rId6" w:history="1">
        <w:r w:rsidR="00282607" w:rsidRPr="009D03D9">
          <w:rPr>
            <w:rStyle w:val="Hyperlink"/>
            <w:rFonts w:ascii="Gill Sans MT" w:hAnsi="Gill Sans MT"/>
            <w:lang w:val="en-IN"/>
          </w:rPr>
          <w:t>https://iris.who.int/handle/10665/70894</w:t>
        </w:r>
      </w:hyperlink>
      <w:r w:rsidR="00282607" w:rsidRPr="009D03D9">
        <w:rPr>
          <w:rFonts w:ascii="Gill Sans MT" w:hAnsi="Gill Sans MT"/>
          <w:lang w:val="en-IN"/>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FF32E" w14:textId="77777777" w:rsidR="00E72F99" w:rsidRDefault="00E72F99" w:rsidP="00051B21">
      <w:pPr>
        <w:spacing w:after="0" w:line="240" w:lineRule="auto"/>
      </w:pPr>
      <w:r>
        <w:separator/>
      </w:r>
    </w:p>
  </w:footnote>
  <w:footnote w:type="continuationSeparator" w:id="0">
    <w:p w14:paraId="32DFD79C" w14:textId="77777777" w:rsidR="00E72F99" w:rsidRDefault="00E72F99" w:rsidP="00051B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FA844" w14:textId="77777777" w:rsidR="00766307" w:rsidRPr="008C29E0" w:rsidRDefault="00766307" w:rsidP="00766307">
    <w:pPr>
      <w:pStyle w:val="Header"/>
      <w:rPr>
        <w:rStyle w:val="oypena"/>
        <w:rFonts w:ascii="Gill Sans MT" w:hAnsi="Gill Sans MT"/>
        <w:b/>
        <w:bCs/>
        <w:color w:val="000000"/>
      </w:rPr>
    </w:pPr>
    <w:proofErr w:type="spellStart"/>
    <w:r w:rsidRPr="008C29E0">
      <w:rPr>
        <w:rStyle w:val="oypena"/>
        <w:rFonts w:ascii="Gill Sans MT" w:hAnsi="Gill Sans MT"/>
        <w:b/>
        <w:bCs/>
        <w:color w:val="0E85B1"/>
      </w:rPr>
      <w:t>Courage</w:t>
    </w:r>
    <w:r w:rsidRPr="008C29E0">
      <w:rPr>
        <w:rStyle w:val="oypena"/>
        <w:rFonts w:ascii="Gill Sans MT" w:hAnsi="Gill Sans MT"/>
        <w:b/>
        <w:bCs/>
        <w:color w:val="000000"/>
      </w:rPr>
      <w:t>AgainstTobacco</w:t>
    </w:r>
    <w:proofErr w:type="spellEnd"/>
  </w:p>
  <w:p w14:paraId="3E27256D" w14:textId="77777777" w:rsidR="00766307" w:rsidRPr="008C29E0" w:rsidRDefault="00766307" w:rsidP="00766307">
    <w:pPr>
      <w:pStyle w:val="Header"/>
      <w:jc w:val="right"/>
      <w:rPr>
        <w:rFonts w:ascii="Gill Sans MT" w:hAnsi="Gill Sans MT" w:cs="Times New Roman"/>
        <w:lang w:val="en-IN"/>
      </w:rPr>
    </w:pPr>
    <w:hyperlink r:id="rId1" w:history="1">
      <w:r w:rsidRPr="008055E3">
        <w:rPr>
          <w:rStyle w:val="Hyperlink"/>
          <w:rFonts w:ascii="Gill Sans MT" w:hAnsi="Gill Sans MT"/>
        </w:rPr>
        <w:t>info@ggtc.world</w:t>
      </w:r>
    </w:hyperlink>
    <w:r>
      <w:rPr>
        <w:rStyle w:val="oypena"/>
        <w:rFonts w:ascii="Gill Sans MT" w:hAnsi="Gill Sans MT"/>
        <w:color w:val="000000"/>
      </w:rPr>
      <w:t xml:space="preserve"> </w:t>
    </w:r>
  </w:p>
  <w:p w14:paraId="16ED1200" w14:textId="61C56850" w:rsidR="00F52843" w:rsidRPr="00766307" w:rsidRDefault="00F52843" w:rsidP="007663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926B1"/>
    <w:multiLevelType w:val="hybridMultilevel"/>
    <w:tmpl w:val="29F28682"/>
    <w:lvl w:ilvl="0" w:tplc="FFFFFFFF">
      <w:start w:val="1"/>
      <w:numFmt w:val="decimal"/>
      <w:lvlText w:val="%1."/>
      <w:lvlJc w:val="left"/>
      <w:pPr>
        <w:ind w:left="720" w:hanging="360"/>
      </w:pPr>
    </w:lvl>
    <w:lvl w:ilvl="1" w:tplc="4009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28102553"/>
    <w:multiLevelType w:val="hybridMultilevel"/>
    <w:tmpl w:val="F7DC5D06"/>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2" w15:restartNumberingAfterBreak="0">
    <w:nsid w:val="2B3D7F08"/>
    <w:multiLevelType w:val="multilevel"/>
    <w:tmpl w:val="4AEEF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FB064B"/>
    <w:multiLevelType w:val="multilevel"/>
    <w:tmpl w:val="2534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4606E"/>
    <w:multiLevelType w:val="multilevel"/>
    <w:tmpl w:val="73F4B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441993"/>
    <w:multiLevelType w:val="hybridMultilevel"/>
    <w:tmpl w:val="4C18A45C"/>
    <w:lvl w:ilvl="0" w:tplc="399EB8E2">
      <w:start w:val="5"/>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449714C1"/>
    <w:multiLevelType w:val="hybridMultilevel"/>
    <w:tmpl w:val="D7960EA4"/>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7" w15:restartNumberingAfterBreak="0">
    <w:nsid w:val="45D5339A"/>
    <w:multiLevelType w:val="hybridMultilevel"/>
    <w:tmpl w:val="56380C1C"/>
    <w:lvl w:ilvl="0" w:tplc="0DE8B9B6">
      <w:start w:val="5"/>
      <w:numFmt w:val="lowerLetter"/>
      <w:lvlText w:val="%1."/>
      <w:lvlJc w:val="left"/>
      <w:pPr>
        <w:ind w:left="1080" w:hanging="360"/>
      </w:pPr>
    </w:lvl>
    <w:lvl w:ilvl="1" w:tplc="EFAAD984">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4D933DBA"/>
    <w:multiLevelType w:val="hybridMultilevel"/>
    <w:tmpl w:val="7882A8F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9" w15:restartNumberingAfterBreak="0">
    <w:nsid w:val="63504505"/>
    <w:multiLevelType w:val="multilevel"/>
    <w:tmpl w:val="4A92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9574EC"/>
    <w:multiLevelType w:val="hybridMultilevel"/>
    <w:tmpl w:val="9CBA26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AC35B44"/>
    <w:multiLevelType w:val="multilevel"/>
    <w:tmpl w:val="F896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9730125">
    <w:abstractNumId w:val="4"/>
  </w:num>
  <w:num w:numId="2" w16cid:durableId="1850100555">
    <w:abstractNumId w:val="11"/>
  </w:num>
  <w:num w:numId="3" w16cid:durableId="689139026">
    <w:abstractNumId w:val="3"/>
  </w:num>
  <w:num w:numId="4" w16cid:durableId="1441222830">
    <w:abstractNumId w:val="2"/>
  </w:num>
  <w:num w:numId="5" w16cid:durableId="1105033345">
    <w:abstractNumId w:val="9"/>
  </w:num>
  <w:num w:numId="6" w16cid:durableId="8657519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8267326">
    <w:abstractNumId w:val="8"/>
  </w:num>
  <w:num w:numId="8" w16cid:durableId="35365547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949552">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74921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7391583">
    <w:abstractNumId w:val="8"/>
  </w:num>
  <w:num w:numId="12" w16cid:durableId="4984980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26837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9909152">
    <w:abstractNumId w:val="10"/>
  </w:num>
  <w:num w:numId="15" w16cid:durableId="210848422">
    <w:abstractNumId w:val="1"/>
  </w:num>
  <w:num w:numId="16" w16cid:durableId="748504775">
    <w:abstractNumId w:val="7"/>
  </w:num>
  <w:num w:numId="17" w16cid:durableId="1920405556">
    <w:abstractNumId w:val="6"/>
  </w:num>
  <w:num w:numId="18" w16cid:durableId="743768227">
    <w:abstractNumId w:val="5"/>
  </w:num>
  <w:num w:numId="19" w16cid:durableId="415634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39A"/>
    <w:rsid w:val="00012B12"/>
    <w:rsid w:val="00023A7F"/>
    <w:rsid w:val="00051B21"/>
    <w:rsid w:val="00074CB4"/>
    <w:rsid w:val="000B2FF8"/>
    <w:rsid w:val="00150BD9"/>
    <w:rsid w:val="00182914"/>
    <w:rsid w:val="00200640"/>
    <w:rsid w:val="00282607"/>
    <w:rsid w:val="00282B4C"/>
    <w:rsid w:val="002D58C6"/>
    <w:rsid w:val="002D79CD"/>
    <w:rsid w:val="00306424"/>
    <w:rsid w:val="00330AF5"/>
    <w:rsid w:val="00360C69"/>
    <w:rsid w:val="003C7D02"/>
    <w:rsid w:val="003D6F5B"/>
    <w:rsid w:val="003E3055"/>
    <w:rsid w:val="00416A5C"/>
    <w:rsid w:val="00424756"/>
    <w:rsid w:val="004835EF"/>
    <w:rsid w:val="004A04C9"/>
    <w:rsid w:val="004B3778"/>
    <w:rsid w:val="004E0E2B"/>
    <w:rsid w:val="004E4BB0"/>
    <w:rsid w:val="005067EA"/>
    <w:rsid w:val="005179FA"/>
    <w:rsid w:val="00563984"/>
    <w:rsid w:val="006842AF"/>
    <w:rsid w:val="00700BD6"/>
    <w:rsid w:val="00745E36"/>
    <w:rsid w:val="00766307"/>
    <w:rsid w:val="007B7683"/>
    <w:rsid w:val="007C339A"/>
    <w:rsid w:val="00815313"/>
    <w:rsid w:val="00833370"/>
    <w:rsid w:val="008574C1"/>
    <w:rsid w:val="008A30FB"/>
    <w:rsid w:val="008C6E6E"/>
    <w:rsid w:val="00904E05"/>
    <w:rsid w:val="00922226"/>
    <w:rsid w:val="0093120D"/>
    <w:rsid w:val="00951C46"/>
    <w:rsid w:val="00966976"/>
    <w:rsid w:val="00986B03"/>
    <w:rsid w:val="009A26DE"/>
    <w:rsid w:val="009C344A"/>
    <w:rsid w:val="009D03D9"/>
    <w:rsid w:val="009D6AC7"/>
    <w:rsid w:val="009E15A6"/>
    <w:rsid w:val="00A078D5"/>
    <w:rsid w:val="00A66E84"/>
    <w:rsid w:val="00AA11FD"/>
    <w:rsid w:val="00AE3127"/>
    <w:rsid w:val="00B030B9"/>
    <w:rsid w:val="00BA6A61"/>
    <w:rsid w:val="00C10A07"/>
    <w:rsid w:val="00C90DBE"/>
    <w:rsid w:val="00CD7F76"/>
    <w:rsid w:val="00D00F04"/>
    <w:rsid w:val="00D71729"/>
    <w:rsid w:val="00DD18DE"/>
    <w:rsid w:val="00E041E7"/>
    <w:rsid w:val="00E402B6"/>
    <w:rsid w:val="00E47B7C"/>
    <w:rsid w:val="00E72F99"/>
    <w:rsid w:val="00F05554"/>
    <w:rsid w:val="00F11EB4"/>
    <w:rsid w:val="00F13487"/>
    <w:rsid w:val="00F323DF"/>
    <w:rsid w:val="00F47A26"/>
    <w:rsid w:val="00F52843"/>
    <w:rsid w:val="00F608AD"/>
    <w:rsid w:val="00F72FD9"/>
    <w:rsid w:val="00FB4CF5"/>
    <w:rsid w:val="00FB58E4"/>
    <w:rsid w:val="00FD7807"/>
    <w:rsid w:val="00FE3CE5"/>
    <w:rsid w:val="00FE5F01"/>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9B704"/>
  <w15:chartTrackingRefBased/>
  <w15:docId w15:val="{1013F93C-99DC-104C-A618-53567CE86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33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C33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C33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33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33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33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33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33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33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33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C33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C33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33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33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33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33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33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339A"/>
    <w:rPr>
      <w:rFonts w:eastAsiaTheme="majorEastAsia" w:cstheme="majorBidi"/>
      <w:color w:val="272727" w:themeColor="text1" w:themeTint="D8"/>
    </w:rPr>
  </w:style>
  <w:style w:type="paragraph" w:styleId="Title">
    <w:name w:val="Title"/>
    <w:basedOn w:val="Normal"/>
    <w:next w:val="Normal"/>
    <w:link w:val="TitleChar"/>
    <w:uiPriority w:val="10"/>
    <w:qFormat/>
    <w:rsid w:val="007C33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33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33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33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339A"/>
    <w:pPr>
      <w:spacing w:before="160"/>
      <w:jc w:val="center"/>
    </w:pPr>
    <w:rPr>
      <w:i/>
      <w:iCs/>
      <w:color w:val="404040" w:themeColor="text1" w:themeTint="BF"/>
    </w:rPr>
  </w:style>
  <w:style w:type="character" w:customStyle="1" w:styleId="QuoteChar">
    <w:name w:val="Quote Char"/>
    <w:basedOn w:val="DefaultParagraphFont"/>
    <w:link w:val="Quote"/>
    <w:uiPriority w:val="29"/>
    <w:rsid w:val="007C339A"/>
    <w:rPr>
      <w:i/>
      <w:iCs/>
      <w:color w:val="404040" w:themeColor="text1" w:themeTint="BF"/>
    </w:rPr>
  </w:style>
  <w:style w:type="paragraph" w:styleId="ListParagraph">
    <w:name w:val="List Paragraph"/>
    <w:basedOn w:val="Normal"/>
    <w:uiPriority w:val="34"/>
    <w:qFormat/>
    <w:rsid w:val="007C339A"/>
    <w:pPr>
      <w:ind w:left="720"/>
      <w:contextualSpacing/>
    </w:pPr>
  </w:style>
  <w:style w:type="character" w:styleId="IntenseEmphasis">
    <w:name w:val="Intense Emphasis"/>
    <w:basedOn w:val="DefaultParagraphFont"/>
    <w:uiPriority w:val="21"/>
    <w:qFormat/>
    <w:rsid w:val="007C339A"/>
    <w:rPr>
      <w:i/>
      <w:iCs/>
      <w:color w:val="0F4761" w:themeColor="accent1" w:themeShade="BF"/>
    </w:rPr>
  </w:style>
  <w:style w:type="paragraph" w:styleId="IntenseQuote">
    <w:name w:val="Intense Quote"/>
    <w:basedOn w:val="Normal"/>
    <w:next w:val="Normal"/>
    <w:link w:val="IntenseQuoteChar"/>
    <w:uiPriority w:val="30"/>
    <w:qFormat/>
    <w:rsid w:val="007C33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339A"/>
    <w:rPr>
      <w:i/>
      <w:iCs/>
      <w:color w:val="0F4761" w:themeColor="accent1" w:themeShade="BF"/>
    </w:rPr>
  </w:style>
  <w:style w:type="character" w:styleId="IntenseReference">
    <w:name w:val="Intense Reference"/>
    <w:basedOn w:val="DefaultParagraphFont"/>
    <w:uiPriority w:val="32"/>
    <w:qFormat/>
    <w:rsid w:val="007C339A"/>
    <w:rPr>
      <w:b/>
      <w:bCs/>
      <w:smallCaps/>
      <w:color w:val="0F4761" w:themeColor="accent1" w:themeShade="BF"/>
      <w:spacing w:val="5"/>
    </w:rPr>
  </w:style>
  <w:style w:type="character" w:styleId="Strong">
    <w:name w:val="Strong"/>
    <w:basedOn w:val="DefaultParagraphFont"/>
    <w:uiPriority w:val="22"/>
    <w:qFormat/>
    <w:rsid w:val="007C339A"/>
    <w:rPr>
      <w:b/>
      <w:bCs/>
    </w:rPr>
  </w:style>
  <w:style w:type="paragraph" w:styleId="NormalWeb">
    <w:name w:val="Normal (Web)"/>
    <w:basedOn w:val="Normal"/>
    <w:uiPriority w:val="99"/>
    <w:semiHidden/>
    <w:unhideWhenUsed/>
    <w:rsid w:val="007C339A"/>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051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1B21"/>
  </w:style>
  <w:style w:type="paragraph" w:styleId="Footer">
    <w:name w:val="footer"/>
    <w:basedOn w:val="Normal"/>
    <w:link w:val="FooterChar"/>
    <w:uiPriority w:val="99"/>
    <w:unhideWhenUsed/>
    <w:rsid w:val="00051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1B21"/>
  </w:style>
  <w:style w:type="table" w:styleId="TableGrid">
    <w:name w:val="Table Grid"/>
    <w:basedOn w:val="TableNormal"/>
    <w:uiPriority w:val="39"/>
    <w:rsid w:val="00F05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ypena">
    <w:name w:val="oypena"/>
    <w:basedOn w:val="DefaultParagraphFont"/>
    <w:rsid w:val="00766307"/>
  </w:style>
  <w:style w:type="character" w:styleId="Hyperlink">
    <w:name w:val="Hyperlink"/>
    <w:basedOn w:val="DefaultParagraphFont"/>
    <w:uiPriority w:val="99"/>
    <w:unhideWhenUsed/>
    <w:rsid w:val="00766307"/>
    <w:rPr>
      <w:color w:val="467886" w:themeColor="hyperlink"/>
      <w:u w:val="single"/>
    </w:rPr>
  </w:style>
  <w:style w:type="paragraph" w:styleId="FootnoteText">
    <w:name w:val="footnote text"/>
    <w:basedOn w:val="Normal"/>
    <w:link w:val="FootnoteTextChar"/>
    <w:uiPriority w:val="99"/>
    <w:semiHidden/>
    <w:unhideWhenUsed/>
    <w:rsid w:val="003064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6424"/>
    <w:rPr>
      <w:sz w:val="20"/>
      <w:szCs w:val="20"/>
    </w:rPr>
  </w:style>
  <w:style w:type="character" w:styleId="FootnoteReference">
    <w:name w:val="footnote reference"/>
    <w:basedOn w:val="DefaultParagraphFont"/>
    <w:uiPriority w:val="99"/>
    <w:semiHidden/>
    <w:unhideWhenUsed/>
    <w:rsid w:val="00306424"/>
    <w:rPr>
      <w:vertAlign w:val="superscript"/>
    </w:rPr>
  </w:style>
  <w:style w:type="paragraph" w:styleId="EndnoteText">
    <w:name w:val="endnote text"/>
    <w:basedOn w:val="Normal"/>
    <w:link w:val="EndnoteTextChar"/>
    <w:uiPriority w:val="99"/>
    <w:semiHidden/>
    <w:unhideWhenUsed/>
    <w:rsid w:val="00416A5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6A5C"/>
    <w:rPr>
      <w:sz w:val="20"/>
      <w:szCs w:val="20"/>
    </w:rPr>
  </w:style>
  <w:style w:type="character" w:styleId="EndnoteReference">
    <w:name w:val="endnote reference"/>
    <w:basedOn w:val="DefaultParagraphFont"/>
    <w:uiPriority w:val="99"/>
    <w:semiHidden/>
    <w:unhideWhenUsed/>
    <w:rsid w:val="00416A5C"/>
    <w:rPr>
      <w:vertAlign w:val="superscript"/>
    </w:rPr>
  </w:style>
  <w:style w:type="character" w:styleId="FollowedHyperlink">
    <w:name w:val="FollowedHyperlink"/>
    <w:basedOn w:val="DefaultParagraphFont"/>
    <w:uiPriority w:val="99"/>
    <w:semiHidden/>
    <w:unhideWhenUsed/>
    <w:rsid w:val="00745E36"/>
    <w:rPr>
      <w:color w:val="96607D" w:themeColor="followedHyperlink"/>
      <w:u w:val="single"/>
    </w:rPr>
  </w:style>
  <w:style w:type="character" w:styleId="UnresolvedMention">
    <w:name w:val="Unresolved Mention"/>
    <w:basedOn w:val="DefaultParagraphFont"/>
    <w:uiPriority w:val="99"/>
    <w:semiHidden/>
    <w:unhideWhenUsed/>
    <w:rsid w:val="00E47B7C"/>
    <w:rPr>
      <w:color w:val="605E5C"/>
      <w:shd w:val="clear" w:color="auto" w:fill="E1DFDD"/>
    </w:rPr>
  </w:style>
  <w:style w:type="character" w:styleId="CommentReference">
    <w:name w:val="annotation reference"/>
    <w:basedOn w:val="DefaultParagraphFont"/>
    <w:uiPriority w:val="99"/>
    <w:semiHidden/>
    <w:unhideWhenUsed/>
    <w:rsid w:val="002D79CD"/>
    <w:rPr>
      <w:sz w:val="16"/>
      <w:szCs w:val="16"/>
    </w:rPr>
  </w:style>
  <w:style w:type="paragraph" w:styleId="CommentText">
    <w:name w:val="annotation text"/>
    <w:basedOn w:val="Normal"/>
    <w:link w:val="CommentTextChar"/>
    <w:uiPriority w:val="99"/>
    <w:unhideWhenUsed/>
    <w:rsid w:val="002D79CD"/>
    <w:pPr>
      <w:spacing w:line="240" w:lineRule="auto"/>
    </w:pPr>
    <w:rPr>
      <w:sz w:val="20"/>
      <w:szCs w:val="20"/>
    </w:rPr>
  </w:style>
  <w:style w:type="character" w:customStyle="1" w:styleId="CommentTextChar">
    <w:name w:val="Comment Text Char"/>
    <w:basedOn w:val="DefaultParagraphFont"/>
    <w:link w:val="CommentText"/>
    <w:uiPriority w:val="99"/>
    <w:rsid w:val="002D79CD"/>
    <w:rPr>
      <w:sz w:val="20"/>
      <w:szCs w:val="20"/>
    </w:rPr>
  </w:style>
  <w:style w:type="paragraph" w:styleId="CommentSubject">
    <w:name w:val="annotation subject"/>
    <w:basedOn w:val="CommentText"/>
    <w:next w:val="CommentText"/>
    <w:link w:val="CommentSubjectChar"/>
    <w:uiPriority w:val="99"/>
    <w:semiHidden/>
    <w:unhideWhenUsed/>
    <w:rsid w:val="002D79CD"/>
    <w:rPr>
      <w:b/>
      <w:bCs/>
    </w:rPr>
  </w:style>
  <w:style w:type="character" w:customStyle="1" w:styleId="CommentSubjectChar">
    <w:name w:val="Comment Subject Char"/>
    <w:basedOn w:val="CommentTextChar"/>
    <w:link w:val="CommentSubject"/>
    <w:uiPriority w:val="99"/>
    <w:semiHidden/>
    <w:rsid w:val="002D79CD"/>
    <w:rPr>
      <w:b/>
      <w:bCs/>
      <w:sz w:val="20"/>
      <w:szCs w:val="20"/>
    </w:rPr>
  </w:style>
  <w:style w:type="paragraph" w:styleId="Revision">
    <w:name w:val="Revision"/>
    <w:hidden/>
    <w:uiPriority w:val="99"/>
    <w:semiHidden/>
    <w:rsid w:val="00E041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5789">
      <w:bodyDiv w:val="1"/>
      <w:marLeft w:val="0"/>
      <w:marRight w:val="0"/>
      <w:marTop w:val="0"/>
      <w:marBottom w:val="0"/>
      <w:divBdr>
        <w:top w:val="none" w:sz="0" w:space="0" w:color="auto"/>
        <w:left w:val="none" w:sz="0" w:space="0" w:color="auto"/>
        <w:bottom w:val="none" w:sz="0" w:space="0" w:color="auto"/>
        <w:right w:val="none" w:sz="0" w:space="0" w:color="auto"/>
      </w:divBdr>
      <w:divsChild>
        <w:div w:id="5344630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061549">
      <w:bodyDiv w:val="1"/>
      <w:marLeft w:val="0"/>
      <w:marRight w:val="0"/>
      <w:marTop w:val="0"/>
      <w:marBottom w:val="0"/>
      <w:divBdr>
        <w:top w:val="none" w:sz="0" w:space="0" w:color="auto"/>
        <w:left w:val="none" w:sz="0" w:space="0" w:color="auto"/>
        <w:bottom w:val="none" w:sz="0" w:space="0" w:color="auto"/>
        <w:right w:val="none" w:sz="0" w:space="0" w:color="auto"/>
      </w:divBdr>
      <w:divsChild>
        <w:div w:id="8158749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5626728">
      <w:bodyDiv w:val="1"/>
      <w:marLeft w:val="0"/>
      <w:marRight w:val="0"/>
      <w:marTop w:val="0"/>
      <w:marBottom w:val="0"/>
      <w:divBdr>
        <w:top w:val="none" w:sz="0" w:space="0" w:color="auto"/>
        <w:left w:val="none" w:sz="0" w:space="0" w:color="auto"/>
        <w:bottom w:val="none" w:sz="0" w:space="0" w:color="auto"/>
        <w:right w:val="none" w:sz="0" w:space="0" w:color="auto"/>
      </w:divBdr>
    </w:div>
    <w:div w:id="641038896">
      <w:bodyDiv w:val="1"/>
      <w:marLeft w:val="0"/>
      <w:marRight w:val="0"/>
      <w:marTop w:val="0"/>
      <w:marBottom w:val="0"/>
      <w:divBdr>
        <w:top w:val="none" w:sz="0" w:space="0" w:color="auto"/>
        <w:left w:val="none" w:sz="0" w:space="0" w:color="auto"/>
        <w:bottom w:val="none" w:sz="0" w:space="0" w:color="auto"/>
        <w:right w:val="none" w:sz="0" w:space="0" w:color="auto"/>
      </w:divBdr>
    </w:div>
    <w:div w:id="840122322">
      <w:bodyDiv w:val="1"/>
      <w:marLeft w:val="0"/>
      <w:marRight w:val="0"/>
      <w:marTop w:val="0"/>
      <w:marBottom w:val="0"/>
      <w:divBdr>
        <w:top w:val="none" w:sz="0" w:space="0" w:color="auto"/>
        <w:left w:val="none" w:sz="0" w:space="0" w:color="auto"/>
        <w:bottom w:val="none" w:sz="0" w:space="0" w:color="auto"/>
        <w:right w:val="none" w:sz="0" w:space="0" w:color="auto"/>
      </w:divBdr>
    </w:div>
    <w:div w:id="1256865944">
      <w:bodyDiv w:val="1"/>
      <w:marLeft w:val="0"/>
      <w:marRight w:val="0"/>
      <w:marTop w:val="0"/>
      <w:marBottom w:val="0"/>
      <w:divBdr>
        <w:top w:val="none" w:sz="0" w:space="0" w:color="auto"/>
        <w:left w:val="none" w:sz="0" w:space="0" w:color="auto"/>
        <w:bottom w:val="none" w:sz="0" w:space="0" w:color="auto"/>
        <w:right w:val="none" w:sz="0" w:space="0" w:color="auto"/>
      </w:divBdr>
    </w:div>
    <w:div w:id="1497456250">
      <w:bodyDiv w:val="1"/>
      <w:marLeft w:val="0"/>
      <w:marRight w:val="0"/>
      <w:marTop w:val="0"/>
      <w:marBottom w:val="0"/>
      <w:divBdr>
        <w:top w:val="none" w:sz="0" w:space="0" w:color="auto"/>
        <w:left w:val="none" w:sz="0" w:space="0" w:color="auto"/>
        <w:bottom w:val="none" w:sz="0" w:space="0" w:color="auto"/>
        <w:right w:val="none" w:sz="0" w:space="0" w:color="auto"/>
      </w:divBdr>
    </w:div>
    <w:div w:id="1629050949">
      <w:bodyDiv w:val="1"/>
      <w:marLeft w:val="0"/>
      <w:marRight w:val="0"/>
      <w:marTop w:val="0"/>
      <w:marBottom w:val="0"/>
      <w:divBdr>
        <w:top w:val="none" w:sz="0" w:space="0" w:color="auto"/>
        <w:left w:val="none" w:sz="0" w:space="0" w:color="auto"/>
        <w:bottom w:val="none" w:sz="0" w:space="0" w:color="auto"/>
        <w:right w:val="none" w:sz="0" w:space="0" w:color="auto"/>
      </w:divBdr>
    </w:div>
    <w:div w:id="1713727662">
      <w:bodyDiv w:val="1"/>
      <w:marLeft w:val="0"/>
      <w:marRight w:val="0"/>
      <w:marTop w:val="0"/>
      <w:marBottom w:val="0"/>
      <w:divBdr>
        <w:top w:val="none" w:sz="0" w:space="0" w:color="auto"/>
        <w:left w:val="none" w:sz="0" w:space="0" w:color="auto"/>
        <w:bottom w:val="none" w:sz="0" w:space="0" w:color="auto"/>
        <w:right w:val="none" w:sz="0" w:space="0" w:color="auto"/>
      </w:divBdr>
      <w:divsChild>
        <w:div w:id="13889944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4571220">
      <w:bodyDiv w:val="1"/>
      <w:marLeft w:val="0"/>
      <w:marRight w:val="0"/>
      <w:marTop w:val="0"/>
      <w:marBottom w:val="0"/>
      <w:divBdr>
        <w:top w:val="none" w:sz="0" w:space="0" w:color="auto"/>
        <w:left w:val="none" w:sz="0" w:space="0" w:color="auto"/>
        <w:bottom w:val="none" w:sz="0" w:space="0" w:color="auto"/>
        <w:right w:val="none" w:sz="0" w:space="0" w:color="auto"/>
      </w:divBdr>
      <w:divsChild>
        <w:div w:id="1244224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www.tobaccoinaustralia.org.au/chapter-10-tobacco-industry/indepth-10a-strategies-for-influence/10a-4-the-mechanisms-of-influence-undermining-publ" TargetMode="External"/><Relationship Id="rId2" Type="http://schemas.openxmlformats.org/officeDocument/2006/relationships/hyperlink" Target="https://fctc.who.int/publications/m/item/guidelines-for-implementation-of-article-5.3" TargetMode="External"/><Relationship Id="rId1" Type="http://schemas.openxmlformats.org/officeDocument/2006/relationships/hyperlink" Target="https://tobaccotactics.org/wiki/foundation-for-a-smoke-free-world/" TargetMode="External"/><Relationship Id="rId6" Type="http://schemas.openxmlformats.org/officeDocument/2006/relationships/hyperlink" Target="https://iris.who.int/handle/10665/70894" TargetMode="External"/><Relationship Id="rId5" Type="http://schemas.openxmlformats.org/officeDocument/2006/relationships/hyperlink" Target="https://files.ggtc.world/uploads/2024-02-01/03-07-53-470050/GGTC%20Toolkit%20(Redesign)%20171123.pdf" TargetMode="External"/><Relationship Id="rId4" Type="http://schemas.openxmlformats.org/officeDocument/2006/relationships/hyperlink" Target="https://exposetobacco.org/news/stop-exposes-18-more-industry-allies/"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info@ggtc.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48575-26F0-4DFE-A78A-27B2B42F3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Sy</dc:creator>
  <cp:keywords/>
  <dc:description/>
  <cp:lastModifiedBy>Farah Niazi</cp:lastModifiedBy>
  <cp:revision>6</cp:revision>
  <dcterms:created xsi:type="dcterms:W3CDTF">2025-06-13T08:52:00Z</dcterms:created>
  <dcterms:modified xsi:type="dcterms:W3CDTF">2025-06-16T04:38:00Z</dcterms:modified>
</cp:coreProperties>
</file>